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7, 2026</w:t>
      </w:r>
    </w:p>
    <w:p>
      <w:pPr>
        <w:spacing w:after="0" w:line="4" w:lineRule="exact"/>
        <w:rPr>
          <w:sz w:val="24"/>
          <w:szCs w:val="24"/>
          <w:color w:val="auto"/>
        </w:rPr>
      </w:pPr>
    </w:p>
    <w:p>
      <w:pPr>
        <w:ind w:left="99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3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Borders>
              <w:top w:val="single" w:sz="8" w:color="auto"/>
            </w:tcBorders>
          </w:tcPr>
          <w:p>
            <w:pPr>
              <w:jc w:val="center"/>
              <w:ind w:left="3601"/>
              <w:spacing w:after="0" w:line="229" w:lineRule="exact"/>
              <w:rPr>
                <w:sz w:val="20"/>
                <w:szCs w:val="20"/>
                <w:color w:val="auto"/>
              </w:rPr>
            </w:pPr>
            <w:r>
              <w:rPr>
                <w:rFonts w:ascii="Times New Roman" w:cs="Times New Roman" w:eastAsia="Times New Roman" w:hAnsi="Times New Roman"/>
                <w:sz w:val="21"/>
                <w:szCs w:val="21"/>
                <w:b w:val="1"/>
                <w:bCs w:val="1"/>
                <w:color w:val="auto"/>
              </w:rPr>
              <w:t>FORM S-8</w:t>
            </w:r>
          </w:p>
        </w:tc>
        <w:tc>
          <w:tcPr>
            <w:tcW w:w="3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7520" w:type="dxa"/>
            <w:vAlign w:val="bottom"/>
          </w:tcPr>
          <w:p>
            <w:pPr>
              <w:jc w:val="center"/>
              <w:ind w:left="3601"/>
              <w:spacing w:after="0" w:line="147" w:lineRule="exact"/>
              <w:rPr>
                <w:sz w:val="20"/>
                <w:szCs w:val="20"/>
                <w:color w:val="auto"/>
              </w:rPr>
            </w:pPr>
            <w:r>
              <w:rPr>
                <w:rFonts w:ascii="Times New Roman" w:cs="Times New Roman" w:eastAsia="Times New Roman" w:hAnsi="Times New Roman"/>
                <w:sz w:val="14"/>
                <w:szCs w:val="14"/>
                <w:b w:val="1"/>
                <w:bCs w:val="1"/>
                <w:color w:val="auto"/>
              </w:rPr>
              <w:t>REGISTRATION STATEMENT</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520" w:type="dxa"/>
            <w:vAlign w:val="bottom"/>
          </w:tcPr>
          <w:p>
            <w:pPr>
              <w:jc w:val="center"/>
              <w:ind w:left="3621"/>
              <w:spacing w:after="0" w:line="147" w:lineRule="exact"/>
              <w:rPr>
                <w:sz w:val="20"/>
                <w:szCs w:val="20"/>
                <w:color w:val="auto"/>
              </w:rPr>
            </w:pPr>
            <w:r>
              <w:rPr>
                <w:rFonts w:ascii="Times New Roman" w:cs="Times New Roman" w:eastAsia="Times New Roman" w:hAnsi="Times New Roman"/>
                <w:sz w:val="14"/>
                <w:szCs w:val="14"/>
                <w:b w:val="1"/>
                <w:bCs w:val="1"/>
                <w:color w:val="auto"/>
              </w:rPr>
              <w:t>UNDER</w:t>
            </w:r>
          </w:p>
        </w:tc>
        <w:tc>
          <w:tcPr>
            <w:tcW w:w="3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520" w:type="dxa"/>
            <w:vAlign w:val="bottom"/>
          </w:tcPr>
          <w:p>
            <w:pPr>
              <w:jc w:val="center"/>
              <w:ind w:left="3621"/>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52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520" w:type="dxa"/>
            <w:vAlign w:val="bottom"/>
          </w:tcPr>
          <w:p>
            <w:pPr>
              <w:jc w:val="center"/>
              <w:ind w:left="3601"/>
              <w:spacing w:after="0" w:line="263" w:lineRule="exact"/>
              <w:rPr>
                <w:sz w:val="20"/>
                <w:szCs w:val="20"/>
                <w:color w:val="auto"/>
              </w:rPr>
            </w:pPr>
            <w:r>
              <w:rPr>
                <w:rFonts w:ascii="Times New Roman" w:cs="Times New Roman" w:eastAsia="Times New Roman" w:hAnsi="Times New Roman"/>
                <w:sz w:val="25"/>
                <w:szCs w:val="25"/>
                <w:b w:val="1"/>
                <w:bCs w:val="1"/>
                <w:color w:val="auto"/>
                <w:w w:val="99"/>
              </w:rPr>
              <w:t>BROWN &amp; BROWN, INC.</w:t>
            </w:r>
          </w:p>
        </w:tc>
        <w:tc>
          <w:tcPr>
            <w:tcW w:w="3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7520" w:type="dxa"/>
            <w:vAlign w:val="bottom"/>
          </w:tcPr>
          <w:p>
            <w:pPr>
              <w:jc w:val="center"/>
              <w:ind w:left="362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520" w:type="dxa"/>
            <w:vAlign w:val="bottom"/>
          </w:tcPr>
          <w:p>
            <w:pPr>
              <w:jc w:val="center"/>
              <w:ind w:right="1801"/>
              <w:spacing w:after="0"/>
              <w:rPr>
                <w:sz w:val="20"/>
                <w:szCs w:val="20"/>
                <w:color w:val="auto"/>
              </w:rPr>
            </w:pPr>
            <w:r>
              <w:rPr>
                <w:rFonts w:ascii="Times New Roman" w:cs="Times New Roman" w:eastAsia="Times New Roman" w:hAnsi="Times New Roman"/>
                <w:sz w:val="14"/>
                <w:szCs w:val="14"/>
                <w:b w:val="1"/>
                <w:bCs w:val="1"/>
                <w:color w:val="auto"/>
                <w:w w:val="99"/>
              </w:rPr>
              <w:t>Florida</w:t>
            </w:r>
          </w:p>
        </w:tc>
        <w:tc>
          <w:tcPr>
            <w:tcW w:w="3720" w:type="dxa"/>
            <w:vAlign w:val="bottom"/>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59-0864469</w:t>
            </w:r>
          </w:p>
        </w:tc>
        <w:tc>
          <w:tcPr>
            <w:tcW w:w="0" w:type="dxa"/>
            <w:vAlign w:val="bottom"/>
          </w:tcPr>
          <w:p>
            <w:pPr>
              <w:spacing w:after="0"/>
              <w:rPr>
                <w:sz w:val="1"/>
                <w:szCs w:val="1"/>
                <w:color w:val="auto"/>
              </w:rPr>
            </w:pPr>
          </w:p>
        </w:tc>
      </w:tr>
      <w:tr>
        <w:trPr>
          <w:trHeight w:val="160"/>
        </w:trPr>
        <w:tc>
          <w:tcPr>
            <w:tcW w:w="7520" w:type="dxa"/>
            <w:vAlign w:val="bottom"/>
          </w:tcPr>
          <w:p>
            <w:pPr>
              <w:jc w:val="center"/>
              <w:ind w:right="18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20" w:type="dxa"/>
            <w:vAlign w:val="bottom"/>
          </w:tcPr>
          <w:p>
            <w:pPr>
              <w:jc w:val="center"/>
              <w:ind w:right="180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7"/>
        </w:trPr>
        <w:tc>
          <w:tcPr>
            <w:tcW w:w="7520" w:type="dxa"/>
            <w:vAlign w:val="bottom"/>
          </w:tcPr>
          <w:p>
            <w:pPr>
              <w:jc w:val="center"/>
              <w:ind w:right="18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20" w:type="dxa"/>
            <w:vAlign w:val="bottom"/>
          </w:tcPr>
          <w:p>
            <w:pPr>
              <w:jc w:val="center"/>
              <w:ind w:right="18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561"/>
        </w:trPr>
        <w:tc>
          <w:tcPr>
            <w:tcW w:w="7520" w:type="dxa"/>
            <w:vAlign w:val="bottom"/>
          </w:tcPr>
          <w:p>
            <w:pPr>
              <w:jc w:val="center"/>
              <w:ind w:right="1821"/>
              <w:spacing w:after="0"/>
              <w:rPr>
                <w:sz w:val="20"/>
                <w:szCs w:val="20"/>
                <w:color w:val="auto"/>
              </w:rPr>
            </w:pPr>
            <w:r>
              <w:rPr>
                <w:rFonts w:ascii="Times New Roman" w:cs="Times New Roman" w:eastAsia="Times New Roman" w:hAnsi="Times New Roman"/>
                <w:sz w:val="14"/>
                <w:szCs w:val="14"/>
                <w:b w:val="1"/>
                <w:bCs w:val="1"/>
                <w:color w:val="auto"/>
              </w:rPr>
              <w:t>300 North Beach Street</w:t>
            </w:r>
          </w:p>
        </w:tc>
        <w:tc>
          <w:tcPr>
            <w:tcW w:w="3720" w:type="dxa"/>
            <w:vAlign w:val="bottom"/>
            <w:vMerge w:val="restart"/>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32114</w:t>
            </w:r>
          </w:p>
        </w:tc>
        <w:tc>
          <w:tcPr>
            <w:tcW w:w="0" w:type="dxa"/>
            <w:vAlign w:val="bottom"/>
          </w:tcPr>
          <w:p>
            <w:pPr>
              <w:spacing w:after="0"/>
              <w:rPr>
                <w:sz w:val="1"/>
                <w:szCs w:val="1"/>
                <w:color w:val="auto"/>
              </w:rPr>
            </w:pPr>
          </w:p>
        </w:tc>
      </w:tr>
      <w:tr>
        <w:trPr>
          <w:trHeight w:val="187"/>
        </w:trPr>
        <w:tc>
          <w:tcPr>
            <w:tcW w:w="7520" w:type="dxa"/>
            <w:vAlign w:val="bottom"/>
          </w:tcPr>
          <w:p>
            <w:pPr>
              <w:jc w:val="center"/>
              <w:ind w:right="1801"/>
              <w:spacing w:after="0"/>
              <w:rPr>
                <w:sz w:val="20"/>
                <w:szCs w:val="20"/>
                <w:color w:val="auto"/>
              </w:rPr>
            </w:pPr>
            <w:r>
              <w:rPr>
                <w:rFonts w:ascii="Times New Roman" w:cs="Times New Roman" w:eastAsia="Times New Roman" w:hAnsi="Times New Roman"/>
                <w:sz w:val="14"/>
                <w:szCs w:val="14"/>
                <w:b w:val="1"/>
                <w:bCs w:val="1"/>
                <w:color w:val="auto"/>
              </w:rPr>
              <w:t>Daytona Beach, Florida</w:t>
            </w:r>
          </w:p>
        </w:tc>
        <w:tc>
          <w:tcPr>
            <w:tcW w:w="3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520" w:type="dxa"/>
            <w:vAlign w:val="bottom"/>
          </w:tcPr>
          <w:p>
            <w:pPr>
              <w:jc w:val="center"/>
              <w:ind w:right="18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20" w:type="dxa"/>
            <w:vAlign w:val="bottom"/>
          </w:tcPr>
          <w:p>
            <w:pPr>
              <w:jc w:val="center"/>
              <w:ind w:right="18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BROWN &amp; BROWN, INC. 2019 STOCK INCENTIVE PLAN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48"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Eileen Akerson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ind w:left="4220"/>
        <w:spacing w:after="0" w:line="224" w:lineRule="auto"/>
        <w:rPr>
          <w:sz w:val="20"/>
          <w:szCs w:val="20"/>
          <w:color w:val="auto"/>
        </w:rPr>
      </w:pPr>
      <w:r>
        <w:rPr>
          <w:rFonts w:ascii="Times New Roman" w:cs="Times New Roman" w:eastAsia="Times New Roman" w:hAnsi="Times New Roman"/>
          <w:sz w:val="14"/>
          <w:szCs w:val="14"/>
          <w:b w:val="1"/>
          <w:bCs w:val="1"/>
          <w:color w:val="auto"/>
        </w:rPr>
        <w:t>Senior Vice President and Chief Legal Officer</w:t>
      </w:r>
    </w:p>
    <w:p>
      <w:pPr>
        <w:ind w:left="4960"/>
        <w:spacing w:after="0" w:line="220" w:lineRule="auto"/>
        <w:rPr>
          <w:sz w:val="20"/>
          <w:szCs w:val="20"/>
          <w:color w:val="auto"/>
        </w:rPr>
      </w:pPr>
      <w:r>
        <w:rPr>
          <w:rFonts w:ascii="Times New Roman" w:cs="Times New Roman" w:eastAsia="Times New Roman" w:hAnsi="Times New Roman"/>
          <w:sz w:val="14"/>
          <w:szCs w:val="14"/>
          <w:b w:val="1"/>
          <w:bCs w:val="1"/>
          <w:color w:val="auto"/>
        </w:rPr>
        <w:t>Brown &amp; Brown, Inc.</w:t>
      </w:r>
    </w:p>
    <w:p>
      <w:pPr>
        <w:ind w:left="4920"/>
        <w:spacing w:after="0" w:line="219" w:lineRule="auto"/>
        <w:rPr>
          <w:sz w:val="20"/>
          <w:szCs w:val="20"/>
          <w:color w:val="auto"/>
        </w:rPr>
      </w:pPr>
      <w:r>
        <w:rPr>
          <w:rFonts w:ascii="Times New Roman" w:cs="Times New Roman" w:eastAsia="Times New Roman" w:hAnsi="Times New Roman"/>
          <w:sz w:val="14"/>
          <w:szCs w:val="14"/>
          <w:b w:val="1"/>
          <w:bCs w:val="1"/>
          <w:color w:val="auto"/>
        </w:rPr>
        <w:t>300 North Beach Street</w:t>
      </w:r>
    </w:p>
    <w:p>
      <w:pPr>
        <w:ind w:left="4680"/>
        <w:spacing w:after="0" w:line="219" w:lineRule="auto"/>
        <w:rPr>
          <w:sz w:val="20"/>
          <w:szCs w:val="20"/>
          <w:color w:val="auto"/>
        </w:rPr>
      </w:pPr>
      <w:r>
        <w:rPr>
          <w:rFonts w:ascii="Times New Roman" w:cs="Times New Roman" w:eastAsia="Times New Roman" w:hAnsi="Times New Roman"/>
          <w:sz w:val="14"/>
          <w:szCs w:val="14"/>
          <w:b w:val="1"/>
          <w:bCs w:val="1"/>
          <w:color w:val="auto"/>
        </w:rPr>
        <w:t>Daytona Beach, Florida 32114</w:t>
      </w:r>
    </w:p>
    <w:p>
      <w:pPr>
        <w:ind w:left="440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(386) 252-9601</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Copies of all communications to:</w:t>
      </w:r>
    </w:p>
    <w:p>
      <w:pPr>
        <w:ind w:left="4940"/>
        <w:spacing w:after="0" w:line="227" w:lineRule="auto"/>
        <w:rPr>
          <w:sz w:val="20"/>
          <w:szCs w:val="20"/>
          <w:color w:val="auto"/>
        </w:rPr>
      </w:pPr>
      <w:r>
        <w:rPr>
          <w:rFonts w:ascii="Times New Roman" w:cs="Times New Roman" w:eastAsia="Times New Roman" w:hAnsi="Times New Roman"/>
          <w:sz w:val="14"/>
          <w:szCs w:val="14"/>
          <w:b w:val="1"/>
          <w:bCs w:val="1"/>
          <w:color w:val="auto"/>
        </w:rPr>
        <w:t>Tom McAleavey, Esq.</w:t>
      </w:r>
    </w:p>
    <w:p>
      <w:pPr>
        <w:ind w:left="4900"/>
        <w:spacing w:after="0" w:line="219" w:lineRule="auto"/>
        <w:rPr>
          <w:sz w:val="20"/>
          <w:szCs w:val="20"/>
          <w:color w:val="auto"/>
        </w:rPr>
      </w:pPr>
      <w:r>
        <w:rPr>
          <w:rFonts w:ascii="Times New Roman" w:cs="Times New Roman" w:eastAsia="Times New Roman" w:hAnsi="Times New Roman"/>
          <w:sz w:val="14"/>
          <w:szCs w:val="14"/>
          <w:b w:val="1"/>
          <w:bCs w:val="1"/>
          <w:color w:val="auto"/>
        </w:rPr>
        <w:t>Holland &amp; Knight LLP</w:t>
      </w:r>
    </w:p>
    <w:p>
      <w:pPr>
        <w:ind w:left="4480"/>
        <w:spacing w:after="0" w:line="220" w:lineRule="auto"/>
        <w:rPr>
          <w:sz w:val="20"/>
          <w:szCs w:val="20"/>
          <w:color w:val="auto"/>
        </w:rPr>
      </w:pPr>
      <w:r>
        <w:rPr>
          <w:rFonts w:ascii="Times New Roman" w:cs="Times New Roman" w:eastAsia="Times New Roman" w:hAnsi="Times New Roman"/>
          <w:sz w:val="14"/>
          <w:szCs w:val="14"/>
          <w:b w:val="1"/>
          <w:bCs w:val="1"/>
          <w:color w:val="auto"/>
        </w:rPr>
        <w:t>200 South Orange Avenue, Suite 2600</w:t>
      </w:r>
    </w:p>
    <w:p>
      <w:pPr>
        <w:ind w:left="4920"/>
        <w:spacing w:after="0" w:line="219" w:lineRule="auto"/>
        <w:rPr>
          <w:sz w:val="20"/>
          <w:szCs w:val="20"/>
          <w:color w:val="auto"/>
        </w:rPr>
      </w:pPr>
      <w:r>
        <w:rPr>
          <w:rFonts w:ascii="Times New Roman" w:cs="Times New Roman" w:eastAsia="Times New Roman" w:hAnsi="Times New Roman"/>
          <w:sz w:val="14"/>
          <w:szCs w:val="14"/>
          <w:b w:val="1"/>
          <w:bCs w:val="1"/>
          <w:color w:val="auto"/>
        </w:rPr>
        <w:t>Orlando, Florida 32801</w:t>
      </w:r>
    </w:p>
    <w:p>
      <w:pPr>
        <w:ind w:left="5160"/>
        <w:spacing w:after="0"/>
        <w:rPr>
          <w:sz w:val="20"/>
          <w:szCs w:val="20"/>
          <w:color w:val="auto"/>
        </w:rPr>
      </w:pPr>
      <w:r>
        <w:rPr>
          <w:rFonts w:ascii="Times New Roman" w:cs="Times New Roman" w:eastAsia="Times New Roman" w:hAnsi="Times New Roman"/>
          <w:sz w:val="14"/>
          <w:szCs w:val="14"/>
          <w:b w:val="1"/>
          <w:bCs w:val="1"/>
          <w:color w:val="auto"/>
        </w:rPr>
        <w:t>(407) 425-8500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165100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right="540"/>
        <w:spacing w:after="0" w:line="25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2300" w:type="dxa"/>
            <w:vAlign w:val="bottom"/>
          </w:tcPr>
          <w:p>
            <w:pPr>
              <w:ind w:left="2060"/>
              <w:spacing w:after="0" w:line="141" w:lineRule="exact"/>
              <w:rPr>
                <w:sz w:val="20"/>
                <w:szCs w:val="20"/>
                <w:color w:val="auto"/>
              </w:rPr>
            </w:pPr>
            <w:r>
              <w:rPr>
                <w:rFonts w:ascii="MS PGothic" w:cs="MS PGothic" w:eastAsia="MS PGothic" w:hAnsi="MS PGothic"/>
                <w:sz w:val="14"/>
                <w:szCs w:val="14"/>
                <w:color w:val="auto"/>
              </w:rPr>
              <w:t>☐</w:t>
            </w:r>
          </w:p>
        </w:tc>
      </w:tr>
      <w:tr>
        <w:trPr>
          <w:trHeight w:val="174"/>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300" w:type="dxa"/>
            <w:vAlign w:val="bottom"/>
          </w:tcPr>
          <w:p>
            <w:pPr>
              <w:ind w:left="2060"/>
              <w:spacing w:after="0" w:line="141" w:lineRule="exact"/>
              <w:rPr>
                <w:sz w:val="20"/>
                <w:szCs w:val="20"/>
                <w:color w:val="auto"/>
              </w:rPr>
            </w:pPr>
            <w:r>
              <w:rPr>
                <w:rFonts w:ascii="MS PGothic" w:cs="MS PGothic" w:eastAsia="MS PGothic" w:hAnsi="MS PGothic"/>
                <w:sz w:val="14"/>
                <w:szCs w:val="14"/>
                <w:color w:val="auto"/>
              </w:rPr>
              <w:t>☐</w:t>
            </w:r>
          </w:p>
        </w:tc>
      </w:tr>
      <w:tr>
        <w:trPr>
          <w:trHeight w:val="238"/>
        </w:trPr>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300" w:type="dxa"/>
            <w:vAlign w:val="bottom"/>
          </w:tcPr>
          <w:p>
            <w:pPr>
              <w:ind w:left="2060"/>
              <w:spacing w:after="0" w:line="141" w:lineRule="exact"/>
              <w:rPr>
                <w:sz w:val="20"/>
                <w:szCs w:val="20"/>
                <w:color w:val="auto"/>
              </w:rPr>
            </w:pPr>
            <w:r>
              <w:rPr>
                <w:rFonts w:ascii="MS PGothic" w:cs="MS PGothic" w:eastAsia="MS PGothic" w:hAnsi="MS PGothic"/>
                <w:sz w:val="14"/>
                <w:szCs w:val="14"/>
                <w:color w:val="auto"/>
              </w:rPr>
              <w:t>☐</w:t>
            </w:r>
          </w:p>
        </w:tc>
      </w:tr>
      <w:tr>
        <w:trPr>
          <w:trHeight w:val="1372"/>
        </w:trPr>
        <w:tc>
          <w:tcPr>
            <w:tcW w:w="30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60" w:type="dxa"/>
            <w:vAlign w:val="bottom"/>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tc>
        <w:tc>
          <w:tcPr>
            <w:tcW w:w="340" w:type="dxa"/>
            <w:vAlign w:val="bottom"/>
            <w:vMerge w:val="restart"/>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94"/>
        </w:trPr>
        <w:tc>
          <w:tcPr>
            <w:tcW w:w="10760" w:type="dxa"/>
            <w:vAlign w:val="bottom"/>
          </w:tcPr>
          <w:p>
            <w:pPr>
              <w:spacing w:after="0"/>
              <w:rPr>
                <w:sz w:val="20"/>
                <w:szCs w:val="20"/>
                <w:color w:val="auto"/>
              </w:rPr>
            </w:pPr>
            <w:r>
              <w:rPr>
                <w:rFonts w:ascii="Times New Roman" w:cs="Times New Roman" w:eastAsia="Times New Roman" w:hAnsi="Times New Roman"/>
                <w:sz w:val="14"/>
                <w:szCs w:val="14"/>
                <w:color w:val="auto"/>
              </w:rPr>
              <w:t>standards provided pursuant to Section 7(a)(2)(B) of the Securities Act.</w:t>
            </w: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1778635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340995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00"/>
          </w:cols>
          <w:pgMar w:left="36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1038860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Brown &amp; Brown, Inc. (the “Company”) is filing with the Securities and Exchange Commission (the “SEC”) this registration statement on Form S-8 (the “Registration Statement”) for the purpose of registering an additional 6,900,000 shares of the Company’s common stock, par value $0.10 per share (the “Common Stock”) that may be issued under the Company’s 2019 Stock Incentive Plan (the “Plan”). On March 23, 2026, the Compensation Committee of the Company’s Board of Directors approved, subject to shareholder approval, an amendment to the Plan (the “Plan Amendment”) to increase the number of shares of Common Stock that may be issued under the Plan by 6,900,000 shares, and extend the term of the Plan to May 6, 2036. On May 6, 2026, the Company’s shareholders approved the Plan Amendment.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02" w:lineRule="exact"/>
        <w:rPr>
          <w:sz w:val="20"/>
          <w:szCs w:val="20"/>
          <w:color w:val="auto"/>
        </w:rPr>
      </w:pPr>
    </w:p>
    <w:p>
      <w:pPr>
        <w:ind w:right="40" w:firstLine="7"/>
        <w:spacing w:after="0" w:line="253" w:lineRule="auto"/>
        <w:tabs>
          <w:tab w:leader="none" w:pos="13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Part I to be contained in the Section 10(a) prospectus is omitted from this Registration Statement in accordance with the Note to Part I of Form S-8. Such information will be sent or given to participants in the Plan as specified by Rule 428(b)(1) under the Securities Act of 1933, as amended (the “Securities Act”). In accordance with the rules and regulations of the SEC and the instructions to Form S-8, such documents need not be filed with the SEC either as part of this Registration Statement or as prospectuses or prospectus supplements pursuant to Rule 424 under the Securities Act. These document(s) and the documents incorporated by reference in this Registration Statement pursuant to Item 3 of Part II hereof, taken together, constitute a prospectus that meets the requirements of Section 10(a) of the Securities Act.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a part of this Registration Statement, and information that we file in the future with the SEC will automatically update and supersede this information. The documents incorporated by reference are:</w:t>
      </w:r>
    </w:p>
    <w:p>
      <w:pPr>
        <w:spacing w:after="0" w:line="177" w:lineRule="exact"/>
        <w:rPr>
          <w:sz w:val="20"/>
          <w:szCs w:val="20"/>
          <w:color w:val="auto"/>
        </w:rPr>
      </w:pPr>
    </w:p>
    <w:p>
      <w:pPr>
        <w:ind w:left="760" w:right="120" w:hanging="379"/>
        <w:spacing w:after="0" w:line="27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for the year ended December 31, 2025 (including information specifically incorporated by reference into our Form 10-K from our definitive proxy statement relating to our 2026 annual meeting of shareholders, filed on March 24, 2026);</w:t>
      </w:r>
    </w:p>
    <w:p>
      <w:pPr>
        <w:spacing w:after="0" w:line="163"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on Form 10-Q for the quarter ended March 31, 2026;</w:t>
      </w:r>
    </w:p>
    <w:p>
      <w:pPr>
        <w:spacing w:after="0" w:line="22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Reports on Form 8-K filed with the SEC on March 4, 2026 and May 7, 2026.</w:t>
      </w:r>
    </w:p>
    <w:p>
      <w:pPr>
        <w:spacing w:after="0" w:line="220" w:lineRule="exact"/>
        <w:rPr>
          <w:rFonts w:ascii="Times New Roman" w:cs="Times New Roman" w:eastAsia="Times New Roman" w:hAnsi="Times New Roman"/>
          <w:sz w:val="18"/>
          <w:szCs w:val="18"/>
          <w:color w:val="auto"/>
        </w:rPr>
      </w:pPr>
    </w:p>
    <w:p>
      <w:pPr>
        <w:ind w:left="760" w:right="120" w:hanging="379"/>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with the SEC on November 17, 1997, including any amendment or report filed for the purpose of updating such description, which description is amended by the description contained in this prospectus; and</w:t>
      </w:r>
    </w:p>
    <w:p>
      <w:pPr>
        <w:spacing w:after="0" w:line="177" w:lineRule="exact"/>
        <w:rPr>
          <w:rFonts w:ascii="Times New Roman" w:cs="Times New Roman" w:eastAsia="Times New Roman" w:hAnsi="Times New Roman"/>
          <w:sz w:val="18"/>
          <w:szCs w:val="18"/>
          <w:color w:val="auto"/>
        </w:rPr>
      </w:pPr>
    </w:p>
    <w:p>
      <w:pPr>
        <w:ind w:left="760" w:hanging="379"/>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filed under Sections 13(a), 13(c), 14 or 15(d) of the Exchange Act after the date of this prospectus and before the termination of the offering of the securities described in this prospectus (other than any information furnished pursuant to Item 2.02 or Item 7.01 of any Current Report on Form 8-K, unless we specifically state in such Current Report that such information is to be considered “filed”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993775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ind w:left="760" w:right="600"/>
        <w:spacing w:after="0" w:line="277" w:lineRule="auto"/>
        <w:rPr>
          <w:sz w:val="20"/>
          <w:szCs w:val="20"/>
          <w:color w:val="auto"/>
        </w:rPr>
      </w:pPr>
      <w:r>
        <w:rPr>
          <w:rFonts w:ascii="Times New Roman" w:cs="Times New Roman" w:eastAsia="Times New Roman" w:hAnsi="Times New Roman"/>
          <w:sz w:val="18"/>
          <w:szCs w:val="18"/>
          <w:color w:val="auto"/>
        </w:rPr>
        <w:t>the Exchange Act, or we incorporate it by reference into a filing under the Securities Act of 1933, as amended (the “Securities Act”) or the Exchange Act).</w:t>
      </w:r>
    </w:p>
    <w:p>
      <w:pPr>
        <w:spacing w:after="0" w:line="373"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Brown &amp; Brown is a Florida corporation. Reference is made to Sections 607.0850 - 607.0859 of the Florida Business Corporation Act, which permit, and in some cases require, indemnification of directors, officers, employees and agents of Brown &amp; Brown under certain circumstances and subject to certain limitations.</w:t>
      </w:r>
    </w:p>
    <w:p>
      <w:pPr>
        <w:spacing w:after="0" w:line="17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Article VII of Brown &amp; Brown’s By-Laws, Brown &amp; Brown is required to indemnify its officers and directors, including an officer or director of Brown &amp; Brown who is or was serving at Brown &amp; Brown’s request as a director or officer of another entity, against all damages, costs, amounts of liability and reasonable expenses incurred by or imposed upon such persons, provided that such person acted in good faith and in a manner such person reasonably believed to be in, or not opposed to, the best interests of Brown &amp; Brown and, in the case of any criminal proceeding, had no reasonable cause to believe such person’s conduct was unlawful.</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Section 21 of the Amended and Restated Brown &amp; Brown, Inc. 2019 Stock Incentive Plan, Brown &amp; Brown is required to indemnify directors, members of the Compensation Committee of its board of directors, and any officer or employee of Brown &amp; Brown to whom authority to act for the board of directors or its Compensation Committee is delegated against all reasonable expenses, including attorneys’ fees, incurred in connection with the defense of any action, suit or proceeding in connection with the Amended and Restated Brown &amp; Brown, Inc. 2019 Stock Incentive Plan or any award or right granted thereunder.</w:t>
      </w:r>
    </w:p>
    <w:p>
      <w:pPr>
        <w:spacing w:after="0" w:line="18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Brown &amp; Brown has purchased insurance with respect to, among other things, liabilities that may arise under the statutory and By-Law provisions referred to above and the Amended and Restated Brown &amp; Brown, Inc. 2019 Stock Incentive Plan.</w:t>
      </w:r>
    </w:p>
    <w:p>
      <w:pPr>
        <w:spacing w:after="0" w:line="16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The general effect of the foregoing provisions may be to reduce the circumstances in which an officer or director may be required to bear the economic burden of the foregoing liabilities and expense.</w:t>
      </w:r>
    </w:p>
    <w:p>
      <w:pPr>
        <w:spacing w:after="0" w:line="159"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Registration Statement: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102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73"/>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24"/>
                <w:szCs w:val="24"/>
                <w:color w:val="auto"/>
              </w:rPr>
            </w:pPr>
          </w:p>
        </w:tc>
        <w:tc>
          <w:tcPr>
            <w:tcW w:w="10040" w:type="dxa"/>
            <w:vAlign w:val="bottom"/>
            <w:tcBorders>
              <w:bottom w:val="single" w:sz="8" w:color="0000EE"/>
            </w:tcBorders>
            <w:gridSpan w:val="2"/>
          </w:tcPr>
          <w:p>
            <w:pPr>
              <w:spacing w:after="0"/>
              <w:rPr>
                <w:rFonts w:ascii="Times New Roman" w:cs="Times New Roman" w:eastAsia="Times New Roman" w:hAnsi="Times New Roman"/>
                <w:sz w:val="18"/>
                <w:szCs w:val="18"/>
                <w:color w:val="0000FF"/>
                <w:w w:val="99"/>
              </w:rPr>
            </w:pPr>
            <w:hyperlink r:id="rId19">
              <w:r>
                <w:rPr>
                  <w:rFonts w:ascii="Times New Roman" w:cs="Times New Roman" w:eastAsia="Times New Roman" w:hAnsi="Times New Roman"/>
                  <w:sz w:val="18"/>
                  <w:szCs w:val="18"/>
                  <w:color w:val="0000FF"/>
                  <w:w w:val="99"/>
                </w:rPr>
                <w:t>Amended and Restated Brown &amp; Brown, Inc. 2019 Stock Incentive Plan (incorporated by reference to Exhibit 10.1 to the Form 8-K filed on</w:t>
              </w:r>
            </w:hyperlink>
          </w:p>
        </w:tc>
        <w:tc>
          <w:tcPr>
            <w:tcW w:w="180" w:type="dxa"/>
            <w:vAlign w:val="bottom"/>
          </w:tcPr>
          <w:p>
            <w:pPr>
              <w:spacing w:after="0"/>
              <w:rPr>
                <w:sz w:val="24"/>
                <w:szCs w:val="24"/>
                <w:color w:val="auto"/>
              </w:rPr>
            </w:pPr>
          </w:p>
        </w:tc>
      </w:tr>
      <w:tr>
        <w:trPr>
          <w:trHeight w:val="194"/>
        </w:trPr>
        <w:tc>
          <w:tcPr>
            <w:tcW w:w="840" w:type="dxa"/>
            <w:vAlign w:val="bottom"/>
          </w:tcPr>
          <w:p>
            <w:pPr>
              <w:spacing w:after="0"/>
              <w:rPr>
                <w:sz w:val="16"/>
                <w:szCs w:val="16"/>
                <w:color w:val="auto"/>
              </w:rPr>
            </w:pPr>
          </w:p>
        </w:tc>
        <w:tc>
          <w:tcPr>
            <w:tcW w:w="10400" w:type="dxa"/>
            <w:vAlign w:val="bottom"/>
            <w:gridSpan w:val="4"/>
          </w:tcPr>
          <w:p>
            <w:pPr>
              <w:ind w:left="180"/>
              <w:spacing w:after="0" w:line="19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May 7, 2026)</w:t>
              </w:r>
            </w:hyperlink>
          </w:p>
        </w:tc>
      </w:tr>
      <w:tr>
        <w:trPr>
          <w:trHeight w:val="2084"/>
        </w:trPr>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top w:val="single" w:sz="8" w:color="0000EE"/>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7"/>
              </w:rPr>
              <w:t>5.1</w:t>
            </w:r>
          </w:p>
        </w:tc>
        <w:tc>
          <w:tcPr>
            <w:tcW w:w="24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FF"/>
                <w:w w:val="98"/>
              </w:rPr>
              <w:t>Opinion of Holland &amp; Knight LLP</w:t>
            </w:r>
          </w:p>
        </w:tc>
        <w:tc>
          <w:tcPr>
            <w:tcW w:w="1780" w:type="dxa"/>
            <w:vAlign w:val="bottom"/>
            <w:gridSpan w:val="2"/>
          </w:tcPr>
          <w:p>
            <w:pPr>
              <w:spacing w:after="0"/>
              <w:rPr>
                <w:sz w:val="17"/>
                <w:szCs w:val="17"/>
                <w:color w:val="auto"/>
              </w:rPr>
            </w:pPr>
          </w:p>
        </w:tc>
      </w:tr>
      <w:tr>
        <w:trPr>
          <w:trHeight w:val="514"/>
        </w:trPr>
        <w:tc>
          <w:tcPr>
            <w:tcW w:w="10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5"/>
              </w:rPr>
              <w:t>23.1</w:t>
            </w:r>
          </w:p>
        </w:tc>
        <w:tc>
          <w:tcPr>
            <w:tcW w:w="4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Consent of Holland &amp; Knight LLP (included in Exhibit 5.1)</w:t>
            </w:r>
          </w:p>
        </w:tc>
      </w:tr>
      <w:tr>
        <w:trPr>
          <w:trHeight w:val="514"/>
        </w:trPr>
        <w:tc>
          <w:tcPr>
            <w:tcW w:w="10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5"/>
              </w:rPr>
              <w:t>23.2</w:t>
            </w:r>
          </w:p>
        </w:tc>
        <w:tc>
          <w:tcPr>
            <w:tcW w:w="42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514"/>
        </w:trPr>
        <w:tc>
          <w:tcPr>
            <w:tcW w:w="10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5"/>
              </w:rPr>
              <w:t>24.1</w:t>
            </w:r>
          </w:p>
        </w:tc>
        <w:tc>
          <w:tcPr>
            <w:tcW w:w="25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Powers of Attorney</w:t>
            </w:r>
          </w:p>
        </w:tc>
        <w:tc>
          <w:tcPr>
            <w:tcW w:w="17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29" w:lineRule="exact"/>
        <w:rPr>
          <w:sz w:val="20"/>
          <w:szCs w:val="20"/>
          <w:color w:val="auto"/>
        </w:rPr>
      </w:pPr>
    </w:p>
    <w:p>
      <w:pPr>
        <w:ind w:left="1060" w:hanging="1022"/>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-8890</wp:posOffset>
            </wp:positionV>
            <wp:extent cx="747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0" w:lineRule="exact"/>
        <w:rPr>
          <w:sz w:val="20"/>
          <w:szCs w:val="20"/>
          <w:color w:val="auto"/>
        </w:rPr>
      </w:pPr>
    </w:p>
    <w:p>
      <w:pPr>
        <w:ind w:left="260" w:hanging="253"/>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0" w:lineRule="exact"/>
        <w:rPr>
          <w:sz w:val="20"/>
          <w:szCs w:val="20"/>
          <w:color w:val="auto"/>
        </w:rPr>
      </w:pPr>
    </w:p>
    <w:p>
      <w:pPr>
        <w:ind w:right="20" w:firstLine="7"/>
        <w:spacing w:after="0" w:line="252"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188" w:lineRule="exact"/>
        <w:rPr>
          <w:rFonts w:ascii="Times New Roman" w:cs="Times New Roman" w:eastAsia="Times New Roman" w:hAnsi="Times New Roman"/>
          <w:sz w:val="18"/>
          <w:szCs w:val="18"/>
          <w:color w:val="auto"/>
        </w:rPr>
      </w:pPr>
    </w:p>
    <w:p>
      <w:pPr>
        <w:ind w:right="500" w:firstLine="7"/>
        <w:spacing w:after="0" w:line="277" w:lineRule="auto"/>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Provided, however, that paragraphs (a)(1)(i) and (a)(1)(ii) do not apply if the registration statement is on Form S-8, and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this Registration Statement.</w:t>
      </w:r>
    </w:p>
    <w:p>
      <w:pPr>
        <w:spacing w:after="0" w:line="159" w:lineRule="exact"/>
        <w:rPr>
          <w:sz w:val="20"/>
          <w:szCs w:val="20"/>
          <w:color w:val="auto"/>
        </w:rPr>
      </w:pPr>
    </w:p>
    <w:p>
      <w:pPr>
        <w:ind w:right="380" w:firstLine="7"/>
        <w:spacing w:after="0" w:line="262"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right="40" w:firstLine="7"/>
        <w:spacing w:after="0" w:line="277"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right="40" w:firstLine="7"/>
        <w:spacing w:after="0" w:line="255" w:lineRule="auto"/>
        <w:tabs>
          <w:tab w:leader="none" w:pos="2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78" w:lineRule="exact"/>
        <w:rPr>
          <w:sz w:val="20"/>
          <w:szCs w:val="20"/>
          <w:color w:val="auto"/>
        </w:rPr>
      </w:pPr>
    </w:p>
    <w:p>
      <w:pPr>
        <w:ind w:left="-7" w:firstLine="7"/>
        <w:spacing w:after="0" w:line="252" w:lineRule="auto"/>
        <w:tabs>
          <w:tab w:leader="none" w:pos="2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(see Item 6)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862965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13"/>
          </w:cols>
          <w:pgMar w:left="327" w:top="144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Daytona Beach, State of Florida, on May 7, 2026.</w:t>
      </w:r>
    </w:p>
    <w:p>
      <w:pPr>
        <w:spacing w:after="0" w:line="17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00" w:lineRule="exact"/>
        <w:rPr>
          <w:sz w:val="20"/>
          <w:szCs w:val="20"/>
          <w:color w:val="auto"/>
        </w:rPr>
      </w:pPr>
    </w:p>
    <w:p>
      <w:pPr>
        <w:spacing w:after="0" w:line="23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-8890</wp:posOffset>
            </wp:positionV>
            <wp:extent cx="18434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J. Powell Brown</w:t>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5"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May 7, 2026.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Signature</w:t>
            </w: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Title</w:t>
            </w:r>
          </w:p>
        </w:tc>
      </w:tr>
      <w:tr>
        <w:trPr>
          <w:trHeight w:val="534"/>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 Powell Brown</w:t>
            </w:r>
          </w:p>
        </w:tc>
        <w:tc>
          <w:tcPr>
            <w:tcW w:w="5640" w:type="dxa"/>
            <w:vAlign w:val="bottom"/>
          </w:tcPr>
          <w:p>
            <w:pPr>
              <w:spacing w:after="0"/>
              <w:rPr>
                <w:sz w:val="24"/>
                <w:szCs w:val="24"/>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640" w:type="dxa"/>
            <w:vAlign w:val="bottom"/>
          </w:tcPr>
          <w:p>
            <w:pPr>
              <w:spacing w:after="0"/>
              <w:rPr>
                <w:sz w:val="2"/>
                <w:szCs w:val="2"/>
                <w:color w:val="auto"/>
              </w:rPr>
            </w:pPr>
          </w:p>
        </w:tc>
      </w:tr>
      <w:tr>
        <w:trPr>
          <w:trHeight w:val="215"/>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 Powell Brown</w:t>
            </w: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33"/>
        </w:trPr>
        <w:tc>
          <w:tcPr>
            <w:tcW w:w="5400" w:type="dxa"/>
            <w:vAlign w:val="bottom"/>
          </w:tcPr>
          <w:p>
            <w:pPr>
              <w:spacing w:after="0"/>
              <w:rPr>
                <w:sz w:val="20"/>
                <w:szCs w:val="20"/>
                <w:color w:val="auto"/>
              </w:rPr>
            </w:pP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 Andrew Watts</w:t>
            </w:r>
          </w:p>
        </w:tc>
        <w:tc>
          <w:tcPr>
            <w:tcW w:w="56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640" w:type="dxa"/>
            <w:vAlign w:val="bottom"/>
          </w:tcPr>
          <w:p>
            <w:pPr>
              <w:spacing w:after="0"/>
              <w:rPr>
                <w:sz w:val="2"/>
                <w:szCs w:val="2"/>
                <w:color w:val="auto"/>
              </w:rPr>
            </w:pPr>
          </w:p>
        </w:tc>
      </w:tr>
      <w:tr>
        <w:trPr>
          <w:trHeight w:val="215"/>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 Andrew Watts</w:t>
            </w: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 (principal financial</w:t>
            </w:r>
          </w:p>
        </w:tc>
      </w:tr>
      <w:tr>
        <w:trPr>
          <w:trHeight w:val="233"/>
        </w:trPr>
        <w:tc>
          <w:tcPr>
            <w:tcW w:w="5400" w:type="dxa"/>
            <w:vAlign w:val="bottom"/>
          </w:tcPr>
          <w:p>
            <w:pPr>
              <w:spacing w:after="0"/>
              <w:rPr>
                <w:sz w:val="20"/>
                <w:szCs w:val="20"/>
                <w:color w:val="auto"/>
              </w:rPr>
            </w:pP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officer)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Paul M. Gallagher</w:t>
            </w:r>
          </w:p>
        </w:tc>
        <w:tc>
          <w:tcPr>
            <w:tcW w:w="56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640" w:type="dxa"/>
            <w:vAlign w:val="bottom"/>
          </w:tcPr>
          <w:p>
            <w:pPr>
              <w:spacing w:after="0"/>
              <w:rPr>
                <w:sz w:val="2"/>
                <w:szCs w:val="2"/>
                <w:color w:val="auto"/>
              </w:rPr>
            </w:pPr>
          </w:p>
        </w:tc>
      </w:tr>
      <w:tr>
        <w:trPr>
          <w:trHeight w:val="215"/>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M. Gallagher</w:t>
            </w: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Vice president, controller and chief accounting officer (principal</w:t>
            </w:r>
          </w:p>
        </w:tc>
      </w:tr>
      <w:tr>
        <w:trPr>
          <w:trHeight w:val="233"/>
        </w:trPr>
        <w:tc>
          <w:tcPr>
            <w:tcW w:w="5400" w:type="dxa"/>
            <w:vAlign w:val="bottom"/>
          </w:tcPr>
          <w:p>
            <w:pPr>
              <w:spacing w:after="0"/>
              <w:rPr>
                <w:sz w:val="20"/>
                <w:szCs w:val="20"/>
                <w:color w:val="auto"/>
              </w:rPr>
            </w:pPr>
          </w:p>
        </w:tc>
        <w:tc>
          <w:tcPr>
            <w:tcW w:w="56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418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18205" cy="825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Hyatt Brown</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3418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18205" cy="8255"/>
                    </a:xfrm>
                    <a:prstGeom prst="rect">
                      <a:avLst/>
                    </a:prstGeom>
                    <a:noFill/>
                  </pic:spPr>
                </pic:pic>
              </a:graphicData>
            </a:graphic>
          </wp:anchor>
        </w:drawing>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Lawrence L. Gellerstedt III</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3418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182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1" w:lineRule="exact"/>
        <w:rPr>
          <w:sz w:val="20"/>
          <w:szCs w:val="20"/>
          <w:color w:val="auto"/>
        </w:rPr>
      </w:pPr>
    </w:p>
    <w:p>
      <w:pPr>
        <w:sectPr>
          <w:pgSz w:w="11900" w:h="16838" w:orient="portrait"/>
          <w:cols w:equalWidth="0" w:num="2">
            <w:col w:w="5280" w:space="720"/>
            <w:col w:w="5240"/>
          </w:cols>
          <w:pgMar w:left="320" w:top="1400"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Theodore J. Hoepner</w:t>
            </w:r>
          </w:p>
        </w:tc>
        <w:tc>
          <w:tcPr>
            <w:tcW w:w="5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840" w:type="dxa"/>
            <w:vAlign w:val="bottom"/>
          </w:tcPr>
          <w:p>
            <w:pPr>
              <w:spacing w:after="0"/>
              <w:rPr>
                <w:sz w:val="2"/>
                <w:szCs w:val="2"/>
                <w:color w:val="auto"/>
              </w:rPr>
            </w:pPr>
          </w:p>
        </w:tc>
      </w:tr>
      <w:tr>
        <w:trPr>
          <w:trHeight w:val="234"/>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James S. Hunt</w:t>
            </w:r>
          </w:p>
        </w:tc>
        <w:tc>
          <w:tcPr>
            <w:tcW w:w="5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840" w:type="dxa"/>
            <w:vAlign w:val="bottom"/>
          </w:tcPr>
          <w:p>
            <w:pPr>
              <w:spacing w:after="0"/>
              <w:rPr>
                <w:sz w:val="2"/>
                <w:szCs w:val="2"/>
                <w:color w:val="auto"/>
              </w:rPr>
            </w:pPr>
          </w:p>
        </w:tc>
      </w:tr>
      <w:tr>
        <w:trPr>
          <w:trHeight w:val="234"/>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Toni Jennings</w:t>
            </w:r>
          </w:p>
        </w:tc>
        <w:tc>
          <w:tcPr>
            <w:tcW w:w="5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840" w:type="dxa"/>
            <w:vAlign w:val="bottom"/>
          </w:tcPr>
          <w:p>
            <w:pPr>
              <w:spacing w:after="0"/>
              <w:rPr>
                <w:sz w:val="2"/>
                <w:szCs w:val="2"/>
                <w:color w:val="auto"/>
              </w:rPr>
            </w:pPr>
          </w:p>
        </w:tc>
      </w:tr>
      <w:tr>
        <w:trPr>
          <w:trHeight w:val="234"/>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Joia M. Johnson</w:t>
            </w:r>
          </w:p>
        </w:tc>
        <w:tc>
          <w:tcPr>
            <w:tcW w:w="5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w:t>
            </w:r>
          </w:p>
        </w:tc>
      </w:tr>
      <w:tr>
        <w:trPr>
          <w:trHeight w:val="267"/>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40" w:type="dxa"/>
            <w:vAlign w:val="bottom"/>
          </w:tcPr>
          <w:p>
            <w:pPr>
              <w:spacing w:after="0"/>
              <w:rPr>
                <w:sz w:val="23"/>
                <w:szCs w:val="23"/>
                <w:color w:val="auto"/>
              </w:rPr>
            </w:pPr>
          </w:p>
        </w:tc>
      </w:tr>
      <w:tr>
        <w:trPr>
          <w:trHeight w:val="26"/>
        </w:trPr>
        <w:tc>
          <w:tcPr>
            <w:tcW w:w="5400" w:type="dxa"/>
            <w:vAlign w:val="bottom"/>
            <w:tcBorders>
              <w:bottom w:val="single" w:sz="8" w:color="auto"/>
            </w:tcBorders>
          </w:tcPr>
          <w:p>
            <w:pPr>
              <w:spacing w:after="0"/>
              <w:rPr>
                <w:sz w:val="2"/>
                <w:szCs w:val="2"/>
                <w:color w:val="auto"/>
              </w:rPr>
            </w:pPr>
          </w:p>
        </w:tc>
        <w:tc>
          <w:tcPr>
            <w:tcW w:w="5840" w:type="dxa"/>
            <w:vAlign w:val="bottom"/>
          </w:tcPr>
          <w:p>
            <w:pPr>
              <w:spacing w:after="0"/>
              <w:rPr>
                <w:sz w:val="2"/>
                <w:szCs w:val="2"/>
                <w:color w:val="auto"/>
              </w:rPr>
            </w:pPr>
          </w:p>
        </w:tc>
      </w:tr>
      <w:tr>
        <w:trPr>
          <w:trHeight w:val="234"/>
        </w:trPr>
        <w:tc>
          <w:tcPr>
            <w:tcW w:w="5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Paul J. Krump</w:t>
            </w:r>
          </w:p>
        </w:tc>
        <w:tc>
          <w:tcPr>
            <w:tcW w:w="5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Director</w:t>
            </w:r>
          </w:p>
        </w:tc>
      </w:tr>
      <w:tr>
        <w:trPr>
          <w:trHeight w:val="1636"/>
        </w:trPr>
        <w:tc>
          <w:tcPr>
            <w:tcW w:w="540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3"/>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Timothy R.M. Main</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Bronislaw E. Masojada</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Jaymin B. Patel</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 Palmer Proctor, Jr.</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Wendell S. Reilly</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67"/>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r>
      <w:tr>
        <w:trPr>
          <w:trHeight w:val="26"/>
        </w:trPr>
        <w:tc>
          <w:tcPr>
            <w:tcW w:w="530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234"/>
        </w:trPr>
        <w:tc>
          <w:tcPr>
            <w:tcW w:w="5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A. Savio</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Anthony M. Robinson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1174115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30" w:right="1440" w:bottom="1440" w:gutter="0" w:footer="0" w:header="0"/>
        </w:sectPr>
      </w:pPr>
    </w:p>
    <w:bookmarkStart w:id="8" w:name="page9"/>
    <w:bookmarkEnd w:id="8"/>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530225</wp:posOffset>
            </wp:positionV>
            <wp:extent cx="2035810" cy="271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035810" cy="271145"/>
                    </a:xfrm>
                    <a:prstGeom prst="rect">
                      <a:avLst/>
                    </a:prstGeom>
                    <a:noFill/>
                  </pic:spPr>
                </pic:pic>
              </a:graphicData>
            </a:graphic>
          </wp:anchor>
        </w:drawing>
      </w:r>
    </w:p>
    <w:p>
      <w:pPr>
        <w:ind w:right="4580"/>
        <w:spacing w:after="0" w:line="280" w:lineRule="auto"/>
        <w:rPr>
          <w:sz w:val="20"/>
          <w:szCs w:val="20"/>
          <w:color w:val="auto"/>
        </w:rPr>
      </w:pPr>
      <w:r>
        <w:rPr>
          <w:rFonts w:ascii="Arial" w:cs="Arial" w:eastAsia="Arial" w:hAnsi="Arial"/>
          <w:sz w:val="14"/>
          <w:szCs w:val="14"/>
          <w:color w:val="002776"/>
        </w:rPr>
        <w:t>200 South Orange Avenue, Suite 2600 | Orlando, Florida 32801 | T +1.407.425.8500 | F +1.407.244.5288 Holland &amp; Knight LLP | www.hklaw.com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7, 2026</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Brown &amp; Brown, Inc.</w:t>
      </w:r>
    </w:p>
    <w:p>
      <w:pPr>
        <w:spacing w:after="0" w:line="238" w:lineRule="auto"/>
        <w:rPr>
          <w:sz w:val="20"/>
          <w:szCs w:val="20"/>
          <w:color w:val="auto"/>
        </w:rPr>
      </w:pPr>
      <w:r>
        <w:rPr>
          <w:rFonts w:ascii="Times New Roman" w:cs="Times New Roman" w:eastAsia="Times New Roman" w:hAnsi="Times New Roman"/>
          <w:sz w:val="21"/>
          <w:szCs w:val="21"/>
          <w:color w:val="auto"/>
        </w:rPr>
        <w:t>300 North Beach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Daytona Beach, Florida 32114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Re: Brown &amp; Brown, Inc. – Registration Statement on Form S-8</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We have acted as counsel to Brown &amp; Brown,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with respect to the preparation and filing with the Securities and Exchange Commission (the “</w:t>
      </w:r>
      <w:r>
        <w:rPr>
          <w:rFonts w:ascii="Times New Roman" w:cs="Times New Roman" w:eastAsia="Times New Roman" w:hAnsi="Times New Roman"/>
          <w:sz w:val="21"/>
          <w:szCs w:val="21"/>
          <w:u w:val="single" w:color="auto"/>
          <w:color w:val="auto"/>
        </w:rPr>
        <w:t>Commission</w:t>
      </w:r>
      <w:r>
        <w:rPr>
          <w:rFonts w:ascii="Times New Roman" w:cs="Times New Roman" w:eastAsia="Times New Roman" w:hAnsi="Times New Roman"/>
          <w:sz w:val="21"/>
          <w:szCs w:val="21"/>
          <w:color w:val="auto"/>
        </w:rPr>
        <w:t>”) of a Registration Statement on Form S-8 (the “</w:t>
      </w:r>
      <w:r>
        <w:rPr>
          <w:rFonts w:ascii="Times New Roman" w:cs="Times New Roman" w:eastAsia="Times New Roman" w:hAnsi="Times New Roman"/>
          <w:sz w:val="21"/>
          <w:szCs w:val="21"/>
          <w:u w:val="single" w:color="auto"/>
          <w:color w:val="auto"/>
        </w:rPr>
        <w:t>Registration Statement</w:t>
      </w:r>
      <w:r>
        <w:rPr>
          <w:rFonts w:ascii="Times New Roman" w:cs="Times New Roman" w:eastAsia="Times New Roman" w:hAnsi="Times New Roman"/>
          <w:sz w:val="21"/>
          <w:szCs w:val="21"/>
          <w:color w:val="auto"/>
        </w:rPr>
        <w:t>”) pursuant to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relating to the registration under the Securities Act by the Company of an additional 6,900,000 shares of its common stock, par value $0.10 per share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issuable under the Company’s 2019 Stock Incentive Plan, as amended and restated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This opinion is being issued pursuant to the requirements of the Securities Act.</w:t>
      </w:r>
    </w:p>
    <w:p>
      <w:pPr>
        <w:spacing w:after="0" w:line="171" w:lineRule="exact"/>
        <w:rPr>
          <w:sz w:val="20"/>
          <w:szCs w:val="20"/>
          <w:color w:val="auto"/>
        </w:rPr>
      </w:pPr>
    </w:p>
    <w:p>
      <w:pPr>
        <w:ind w:right="120" w:firstLine="749"/>
        <w:spacing w:after="0" w:line="275" w:lineRule="auto"/>
        <w:rPr>
          <w:sz w:val="20"/>
          <w:szCs w:val="20"/>
          <w:color w:val="auto"/>
        </w:rPr>
      </w:pPr>
      <w:r>
        <w:rPr>
          <w:rFonts w:ascii="Times New Roman" w:cs="Times New Roman" w:eastAsia="Times New Roman" w:hAnsi="Times New Roman"/>
          <w:sz w:val="21"/>
          <w:szCs w:val="21"/>
          <w:color w:val="auto"/>
        </w:rPr>
        <w:t>In connection with the opinions expressed herein, we have examined, among other things, original counterparts or copies of original counterparts of the following documents:</w:t>
      </w:r>
    </w:p>
    <w:p>
      <w:pPr>
        <w:spacing w:after="0" w:line="141" w:lineRule="exact"/>
        <w:rPr>
          <w:sz w:val="20"/>
          <w:szCs w:val="20"/>
          <w:color w:val="auto"/>
        </w:rPr>
      </w:pPr>
    </w:p>
    <w:p>
      <w:pPr>
        <w:ind w:left="1940" w:hanging="435"/>
        <w:spacing w:after="0"/>
        <w:tabs>
          <w:tab w:leader="none" w:pos="1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Registration Statement and all exhibits thereto.</w:t>
      </w:r>
    </w:p>
    <w:p>
      <w:pPr>
        <w:spacing w:after="0" w:line="21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Articles of Incorporation of the Company.</w:t>
      </w:r>
    </w:p>
    <w:p>
      <w:pPr>
        <w:spacing w:after="0" w:line="21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Amended and Restated By-Laws of the Company.</w:t>
      </w:r>
    </w:p>
    <w:p>
      <w:pPr>
        <w:spacing w:after="0" w:line="212"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w:t>
      </w:r>
    </w:p>
    <w:p>
      <w:pPr>
        <w:spacing w:after="0" w:line="212" w:lineRule="exact"/>
        <w:rPr>
          <w:rFonts w:ascii="Times New Roman" w:cs="Times New Roman" w:eastAsia="Times New Roman" w:hAnsi="Times New Roman"/>
          <w:sz w:val="21"/>
          <w:szCs w:val="21"/>
          <w:color w:val="auto"/>
        </w:rPr>
      </w:pPr>
    </w:p>
    <w:p>
      <w:pPr>
        <w:ind w:left="760" w:right="600" w:firstLine="745"/>
        <w:spacing w:after="0" w:line="275" w:lineRule="auto"/>
        <w:tabs>
          <w:tab w:leader="none" w:pos="193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records of corporate proceedings of the Company that have occurred prior to the date hereof with respect to the Registration Statement.</w:t>
      </w:r>
    </w:p>
    <w:p>
      <w:pPr>
        <w:spacing w:after="0" w:line="141" w:lineRule="exact"/>
        <w:rPr>
          <w:sz w:val="20"/>
          <w:szCs w:val="20"/>
          <w:color w:val="auto"/>
        </w:rPr>
      </w:pPr>
    </w:p>
    <w:p>
      <w:pPr>
        <w:jc w:val="both"/>
        <w:ind w:right="40" w:firstLine="428"/>
        <w:spacing w:after="0" w:line="257" w:lineRule="auto"/>
        <w:rPr>
          <w:sz w:val="20"/>
          <w:szCs w:val="20"/>
          <w:color w:val="auto"/>
        </w:rPr>
      </w:pPr>
      <w:r>
        <w:rPr>
          <w:rFonts w:ascii="Times New Roman" w:cs="Times New Roman" w:eastAsia="Times New Roman" w:hAnsi="Times New Roman"/>
          <w:sz w:val="21"/>
          <w:szCs w:val="21"/>
          <w:color w:val="auto"/>
        </w:rPr>
        <w:t>We have also examined originals or copies of such other records of the Company, certificates and web sites of public officials and of officers or other representatives of the Company and agreements and other documents, and made such other investigations, as we have deemed necessary, subject to the assumptions set forth below, as a basis for the opinions expressed below.</w:t>
      </w:r>
    </w:p>
    <w:p>
      <w:pPr>
        <w:spacing w:after="0" w:line="159"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In rendering the opinions expressed below, we have assumed: (i) the genuineness of all signatures (whether manual, electronic or otherwise) and, to the extent that a signature on a document is manifested by electronic or similar means, such signature has been executed or adopted by a signatory with an intent to authenticate and sign the document; (ii) the authenticity of the originals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991870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1"/>
          <w:szCs w:val="21"/>
          <w:color w:val="auto"/>
        </w:rPr>
        <w:t>Brown &amp; Brown,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7, 2026</w:t>
      </w:r>
    </w:p>
    <w:p>
      <w:pPr>
        <w:spacing w:after="0"/>
        <w:rPr>
          <w:sz w:val="20"/>
          <w:szCs w:val="20"/>
          <w:color w:val="auto"/>
        </w:rPr>
      </w:pPr>
      <w:r>
        <w:rPr>
          <w:rFonts w:ascii="Times New Roman" w:cs="Times New Roman" w:eastAsia="Times New Roman" w:hAnsi="Times New Roman"/>
          <w:sz w:val="21"/>
          <w:szCs w:val="2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2711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71145" cy="825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documents submitted to us; (iii) the conformity to authentic originals of any documents submitted to us as copies; (iv) as to matters of fact, the truthfulness of the representations made or otherwise incorporated in the Registration Statement and representations and statements made in certificates or web sites of public officials and officers or other representatives of the Company; and (v) that the offer and issuance of Shares pursuant to the Plan will comply in all respects with the terms, conditions and restrictions set forth in the Registration Statement and the Plan.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We have not independently established the validity of the foregoing assumptions.</w:t>
      </w:r>
    </w:p>
    <w:p>
      <w:pPr>
        <w:spacing w:after="0" w:line="213" w:lineRule="exact"/>
        <w:rPr>
          <w:sz w:val="20"/>
          <w:szCs w:val="20"/>
          <w:color w:val="auto"/>
        </w:rPr>
      </w:pPr>
    </w:p>
    <w:p>
      <w:pPr>
        <w:ind w:right="20" w:firstLine="428"/>
        <w:spacing w:after="0" w:line="257" w:lineRule="auto"/>
        <w:rPr>
          <w:sz w:val="20"/>
          <w:szCs w:val="20"/>
          <w:color w:val="auto"/>
        </w:rPr>
      </w:pPr>
      <w:r>
        <w:rPr>
          <w:rFonts w:ascii="Times New Roman" w:cs="Times New Roman" w:eastAsia="Times New Roman" w:hAnsi="Times New Roman"/>
          <w:sz w:val="21"/>
          <w:szCs w:val="21"/>
          <w:color w:val="auto"/>
        </w:rPr>
        <w:t>Based upon the foregoing, and subject to the assumptions, qualifications and limitations set forth herein, we are of the opinion that the Shares have been duly authorized by the Company and, when issued and paid for in the manner described in the Plan, the Shares will be validly issued, fully paid and nonassessable.</w:t>
      </w:r>
    </w:p>
    <w:p>
      <w:pPr>
        <w:spacing w:after="0" w:line="159" w:lineRule="exact"/>
        <w:rPr>
          <w:sz w:val="20"/>
          <w:szCs w:val="20"/>
          <w:color w:val="auto"/>
        </w:rPr>
      </w:pPr>
    </w:p>
    <w:p>
      <w:pPr>
        <w:ind w:right="460" w:firstLine="428"/>
        <w:spacing w:after="0" w:line="275" w:lineRule="auto"/>
        <w:rPr>
          <w:sz w:val="20"/>
          <w:szCs w:val="20"/>
          <w:color w:val="auto"/>
        </w:rPr>
      </w:pPr>
      <w:r>
        <w:rPr>
          <w:rFonts w:ascii="Times New Roman" w:cs="Times New Roman" w:eastAsia="Times New Roman" w:hAnsi="Times New Roman"/>
          <w:sz w:val="21"/>
          <w:szCs w:val="21"/>
          <w:color w:val="auto"/>
        </w:rPr>
        <w:t>Our opinion is limited to the Florida Business Corporation Act, including all reported judicial decisions interpreting such laws, and we do not express any opinion herein concerning any other laws.</w:t>
      </w:r>
    </w:p>
    <w:p>
      <w:pPr>
        <w:spacing w:after="0" w:line="141"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21"/>
          <w:szCs w:val="21"/>
          <w:color w:val="auto"/>
        </w:rPr>
        <w:t>This opinion letter has been prepared, and is to be understood, in accordance with customary practice of lawyers who regularly give and lawyers who regularly advise recipients regarding opinions of this kind, is limited to the matters expressly stated herein and is provided solely in connection with the Plan and no opinions may be inferred or implied beyond the matters expressly stated herein. The opinions expressed herein are rendered and speak only as of the date hereof and we specifically disclaim any responsibility to update such opinions subsequent to the date hereof or to advise you of subsequent developments affecting such opinions.</w:t>
      </w:r>
    </w:p>
    <w:p>
      <w:pPr>
        <w:spacing w:after="0" w:line="200" w:lineRule="exact"/>
        <w:rPr>
          <w:sz w:val="20"/>
          <w:szCs w:val="20"/>
          <w:color w:val="auto"/>
        </w:rPr>
      </w:pP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We consent to the filing of this opinion with the Commission as Exhibit 5.1 to the Registration Statement.</w:t>
      </w:r>
    </w:p>
    <w:p>
      <w:pPr>
        <w:spacing w:after="0" w:line="21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color w:val="auto"/>
        </w:rPr>
        <w:t>Respectfully submitted,</w:t>
      </w: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HOLLAND &amp; KNIGHT LLP</w:t>
      </w: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 Holland &amp; Knight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1734185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0" w:name="page11"/>
    <w:bookmarkEnd w:id="10"/>
    <w:p>
      <w:pPr>
        <w:ind w:left="7400"/>
        <w:spacing w:after="0"/>
        <w:rPr>
          <w:sz w:val="20"/>
          <w:szCs w:val="20"/>
          <w:color w:val="auto"/>
        </w:rPr>
      </w:pPr>
      <w:r>
        <w:rPr>
          <w:rFonts w:ascii="Verdana" w:cs="Verdana" w:eastAsia="Verdana" w:hAnsi="Verdana"/>
          <w:sz w:val="12"/>
          <w:szCs w:val="12"/>
          <w:b w:val="1"/>
          <w:bCs w:val="1"/>
          <w:color w:val="auto"/>
        </w:rPr>
        <w:t>Deloitte &amp; Touche LLP</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Certified Public Accountants</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Suite 3600</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201 N Franklin Street</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Tampa, FL 33602-5818</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USA</w:t>
      </w:r>
    </w:p>
    <w:p>
      <w:pPr>
        <w:spacing w:after="0" w:line="148"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Tel: +1 813 273 8300</w:t>
      </w:r>
    </w:p>
    <w:p>
      <w:pPr>
        <w:spacing w:after="0" w:line="1" w:lineRule="exact"/>
        <w:rPr>
          <w:sz w:val="20"/>
          <w:szCs w:val="20"/>
          <w:color w:val="auto"/>
        </w:rPr>
      </w:pPr>
    </w:p>
    <w:p>
      <w:pPr>
        <w:ind w:left="7400"/>
        <w:spacing w:after="0"/>
        <w:rPr>
          <w:sz w:val="20"/>
          <w:szCs w:val="20"/>
          <w:color w:val="auto"/>
        </w:rPr>
      </w:pPr>
      <w:r>
        <w:rPr>
          <w:rFonts w:ascii="Verdana" w:cs="Verdana" w:eastAsia="Verdana" w:hAnsi="Verdana"/>
          <w:sz w:val="12"/>
          <w:szCs w:val="12"/>
          <w:color w:val="auto"/>
        </w:rPr>
        <w:t>www.deloitte.com</w:t>
      </w:r>
    </w:p>
    <w:p>
      <w:pPr>
        <w:spacing w:after="0" w:line="3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13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11, 2026 relating to the financial statements of Brown &amp; Brown, Inc. and the effectiveness of Brown &amp; Brown, Inc.'s internal control over financial reporting, appearing in the Annual Report on Form 10-K of Brown &amp; Brown, Inc. for the year ended December 31, 2025.</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1416050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776" w:right="439" w:bottom="1440" w:gutter="0" w:footer="0" w:header="0"/>
        </w:sectPr>
      </w:pPr>
    </w:p>
    <w:bookmarkStart w:id="11" w:name="page12"/>
    <w:bookmarkEnd w:id="11"/>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840" w:val="left"/>
          <w:tab w:leader="none" w:pos="9820" w:val="left"/>
        </w:tabs>
        <w:rPr>
          <w:sz w:val="20"/>
          <w:szCs w:val="20"/>
          <w:color w:val="auto"/>
        </w:rPr>
      </w:pPr>
      <w:r>
        <w:rPr>
          <w:rFonts w:ascii="Times New Roman" w:cs="Times New Roman" w:eastAsia="Times New Roman" w:hAnsi="Times New Roman"/>
          <w:sz w:val="21"/>
          <w:szCs w:val="21"/>
          <w:color w:val="auto"/>
        </w:rPr>
        <w:t>Dated: April 30, 2026</w:t>
      </w:r>
      <w:r>
        <w:rPr>
          <w:sz w:val="20"/>
          <w:szCs w:val="20"/>
          <w:color w:val="auto"/>
        </w:rPr>
        <w:tab/>
      </w:r>
      <w:r>
        <w:rPr>
          <w:rFonts w:ascii="Times New Roman" w:cs="Times New Roman" w:eastAsia="Times New Roman" w:hAnsi="Times New Roman"/>
          <w:sz w:val="21"/>
          <w:szCs w:val="21"/>
          <w:color w:val="auto"/>
        </w:rPr>
        <w:t>/s/ J. Hyatt Brown</w:t>
      </w:r>
      <w:r>
        <w:rPr>
          <w:sz w:val="20"/>
          <w:szCs w:val="20"/>
          <w:color w:val="auto"/>
        </w:rPr>
        <w:tab/>
      </w:r>
      <w:r>
        <w:rPr>
          <w:rFonts w:ascii="Times New Roman" w:cs="Times New Roman" w:eastAsia="Times New Roman" w:hAnsi="Times New Roman"/>
          <w:sz w:val="21"/>
          <w:szCs w:val="21"/>
          <w:color w:val="auto"/>
        </w:rPr>
        <w:t>J. Hyatt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3448050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-8255</wp:posOffset>
            </wp:positionV>
            <wp:extent cx="16287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 Powell Brown</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J. Powell</w:t>
            </w:r>
          </w:p>
        </w:tc>
        <w:tc>
          <w:tcPr>
            <w:tcW w:w="2580" w:type="dxa"/>
            <w:vAlign w:val="bottom"/>
          </w:tcPr>
          <w:p>
            <w:pPr>
              <w:spacing w:after="0"/>
              <w:rPr>
                <w:sz w:val="20"/>
                <w:szCs w:val="20"/>
                <w:color w:val="auto"/>
              </w:rPr>
            </w:pPr>
            <w:r>
              <w:rPr>
                <w:rFonts w:ascii="Times New Roman" w:cs="Times New Roman" w:eastAsia="Times New Roman" w:hAnsi="Times New Roman"/>
                <w:sz w:val="21"/>
                <w:szCs w:val="21"/>
                <w:color w:val="auto"/>
              </w:rPr>
              <w:t>Brown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4212590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Lawrence L. Gellerstedt III</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w w:val="98"/>
              </w:rPr>
              <w:t>Lawrence</w:t>
            </w:r>
          </w:p>
        </w:tc>
        <w:tc>
          <w:tcPr>
            <w:tcW w:w="30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L. Gellerstedt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Theodore J. Hoepner</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Theodore</w:t>
            </w:r>
          </w:p>
        </w:tc>
        <w:tc>
          <w:tcPr>
            <w:tcW w:w="25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J. Hoepner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James S. Hunt</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James S.</w:t>
            </w:r>
          </w:p>
        </w:tc>
        <w:tc>
          <w:tcPr>
            <w:tcW w:w="2580" w:type="dxa"/>
            <w:vAlign w:val="bottom"/>
          </w:tcPr>
          <w:p>
            <w:pPr>
              <w:spacing w:after="0"/>
              <w:rPr>
                <w:sz w:val="20"/>
                <w:szCs w:val="20"/>
                <w:color w:val="auto"/>
              </w:rPr>
            </w:pPr>
            <w:r>
              <w:rPr>
                <w:rFonts w:ascii="Times New Roman" w:cs="Times New Roman" w:eastAsia="Times New Roman" w:hAnsi="Times New Roman"/>
                <w:sz w:val="21"/>
                <w:szCs w:val="21"/>
                <w:color w:val="auto"/>
              </w:rPr>
              <w:t>Hunt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her true and lawful attorney-in-fact and agent, with full power of substitution and resubstitution, for her and in her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Toni Jennings</w:t>
            </w:r>
          </w:p>
        </w:tc>
      </w:tr>
      <w:tr>
        <w:trPr>
          <w:trHeight w:val="272"/>
        </w:trPr>
        <w:tc>
          <w:tcPr>
            <w:tcW w:w="2140" w:type="dxa"/>
            <w:vAlign w:val="bottom"/>
          </w:tcPr>
          <w:p>
            <w:pPr>
              <w:spacing w:after="0"/>
              <w:rPr>
                <w:sz w:val="23"/>
                <w:szCs w:val="23"/>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Toni Jennings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her true and lawful attorney-in-fact and agent, with full power of substitution and resubstitution, for her and in her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Joia M. Johnson</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Joia M.</w:t>
            </w: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Johnson</w:t>
            </w:r>
          </w:p>
        </w:tc>
        <w:tc>
          <w:tcPr>
            <w:tcW w:w="5240" w:type="dxa"/>
            <w:vAlign w:val="bottom"/>
          </w:tcPr>
          <w:p>
            <w:pPr>
              <w:spacing w:after="0"/>
              <w:rPr>
                <w:sz w:val="23"/>
                <w:szCs w:val="23"/>
                <w:color w:val="auto"/>
              </w:rPr>
            </w:pPr>
          </w:p>
        </w:tc>
      </w:tr>
      <w:tr>
        <w:trPr>
          <w:trHeight w:val="1839"/>
        </w:trPr>
        <w:tc>
          <w:tcPr>
            <w:tcW w:w="2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Paul J. Krump</w:t>
            </w:r>
          </w:p>
        </w:tc>
      </w:tr>
      <w:tr>
        <w:trPr>
          <w:trHeight w:val="272"/>
        </w:trPr>
        <w:tc>
          <w:tcPr>
            <w:tcW w:w="2140" w:type="dxa"/>
            <w:vAlign w:val="bottom"/>
          </w:tcPr>
          <w:p>
            <w:pPr>
              <w:spacing w:after="0"/>
              <w:rPr>
                <w:sz w:val="23"/>
                <w:szCs w:val="23"/>
                <w:color w:val="auto"/>
              </w:rPr>
            </w:pPr>
          </w:p>
        </w:tc>
        <w:tc>
          <w:tcPr>
            <w:tcW w:w="386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Paul J. Krump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4060190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Timothy R.M. Main</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Timothy</w:t>
            </w:r>
          </w:p>
        </w:tc>
        <w:tc>
          <w:tcPr>
            <w:tcW w:w="2580" w:type="dxa"/>
            <w:vAlign w:val="bottom"/>
          </w:tcPr>
          <w:p>
            <w:pPr>
              <w:spacing w:after="0"/>
              <w:rPr>
                <w:sz w:val="20"/>
                <w:szCs w:val="20"/>
                <w:color w:val="auto"/>
              </w:rPr>
            </w:pPr>
            <w:r>
              <w:rPr>
                <w:rFonts w:ascii="Times New Roman" w:cs="Times New Roman" w:eastAsia="Times New Roman" w:hAnsi="Times New Roman"/>
                <w:sz w:val="21"/>
                <w:szCs w:val="21"/>
                <w:color w:val="auto"/>
              </w:rPr>
              <w:t>R.M. Main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4212590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20" w:type="dxa"/>
            <w:vAlign w:val="bottom"/>
          </w:tcPr>
          <w:p>
            <w:pPr>
              <w:spacing w:after="0"/>
              <w:rPr>
                <w:sz w:val="20"/>
                <w:szCs w:val="20"/>
                <w:color w:val="auto"/>
              </w:rPr>
            </w:pPr>
            <w:r>
              <w:rPr>
                <w:rFonts w:ascii="Times New Roman" w:cs="Times New Roman" w:eastAsia="Times New Roman" w:hAnsi="Times New Roman"/>
                <w:sz w:val="21"/>
                <w:szCs w:val="21"/>
                <w:color w:val="auto"/>
              </w:rPr>
              <w:t>Dated: April 30, 2026</w:t>
            </w:r>
          </w:p>
        </w:tc>
        <w:tc>
          <w:tcPr>
            <w:tcW w:w="120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Bronislaw E. Masojada</w:t>
            </w:r>
          </w:p>
        </w:tc>
      </w:tr>
      <w:tr>
        <w:trPr>
          <w:trHeight w:val="272"/>
        </w:trPr>
        <w:tc>
          <w:tcPr>
            <w:tcW w:w="2220" w:type="dxa"/>
            <w:vAlign w:val="bottom"/>
          </w:tcPr>
          <w:p>
            <w:pPr>
              <w:spacing w:after="0"/>
              <w:rPr>
                <w:sz w:val="23"/>
                <w:szCs w:val="23"/>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21"/>
                <w:szCs w:val="21"/>
                <w:color w:val="auto"/>
                <w:w w:val="94"/>
              </w:rPr>
              <w:t>Bronislaw</w:t>
            </w:r>
          </w:p>
        </w:tc>
        <w:tc>
          <w:tcPr>
            <w:tcW w:w="30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 Masojada</w:t>
            </w:r>
          </w:p>
        </w:tc>
        <w:tc>
          <w:tcPr>
            <w:tcW w:w="4820" w:type="dxa"/>
            <w:vAlign w:val="bottom"/>
          </w:tcPr>
          <w:p>
            <w:pPr>
              <w:spacing w:after="0"/>
              <w:rPr>
                <w:sz w:val="23"/>
                <w:szCs w:val="23"/>
                <w:color w:val="auto"/>
              </w:rPr>
            </w:pPr>
          </w:p>
        </w:tc>
      </w:tr>
      <w:tr>
        <w:trPr>
          <w:trHeight w:val="4938"/>
        </w:trPr>
        <w:tc>
          <w:tcPr>
            <w:tcW w:w="2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1908175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Jaymin B. Patel</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w w:val="96"/>
              </w:rPr>
              <w:t>Jaymin B.</w:t>
            </w:r>
          </w:p>
        </w:tc>
        <w:tc>
          <w:tcPr>
            <w:tcW w:w="25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Patel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4212590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H. Palmer Proctor, Jr.</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w w:val="96"/>
              </w:rPr>
              <w:t>H. Palmer</w:t>
            </w:r>
          </w:p>
        </w:tc>
        <w:tc>
          <w:tcPr>
            <w:tcW w:w="30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Proctor,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his true and lawful attorney-in-fact and agent, with full power of substitution and resubstitution, for him and in his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Wendell S. Reilly</w:t>
            </w:r>
          </w:p>
        </w:tc>
      </w:tr>
      <w:tr>
        <w:trPr>
          <w:trHeight w:val="272"/>
        </w:trPr>
        <w:tc>
          <w:tcPr>
            <w:tcW w:w="2140" w:type="dxa"/>
            <w:vAlign w:val="bottom"/>
          </w:tcPr>
          <w:p>
            <w:pPr>
              <w:spacing w:after="0"/>
              <w:rPr>
                <w:sz w:val="23"/>
                <w:szCs w:val="23"/>
                <w:color w:val="auto"/>
              </w:rPr>
            </w:pPr>
          </w:p>
        </w:tc>
        <w:tc>
          <w:tcPr>
            <w:tcW w:w="4280" w:type="dxa"/>
            <w:vAlign w:val="bottom"/>
            <w:gridSpan w:val="2"/>
          </w:tcPr>
          <w:p>
            <w:pPr>
              <w:ind w:left="440"/>
              <w:spacing w:after="0"/>
              <w:rPr>
                <w:sz w:val="20"/>
                <w:szCs w:val="20"/>
                <w:color w:val="auto"/>
              </w:rPr>
            </w:pPr>
            <w:r>
              <w:rPr>
                <w:rFonts w:ascii="Times New Roman" w:cs="Times New Roman" w:eastAsia="Times New Roman" w:hAnsi="Times New Roman"/>
                <w:sz w:val="21"/>
                <w:szCs w:val="21"/>
                <w:color w:val="auto"/>
              </w:rPr>
              <w:t>Wendell S. Reilly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3271520</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1"/>
          <w:szCs w:val="21"/>
          <w:color w:val="auto"/>
        </w:rPr>
        <w:t>The undersigned constitutes and appoints Anthony M. Robinson and R. Andrew Watts, or either of them, as her true and lawful attorney-in-fact and agent, with full power of substitution and resubstitution, for her and in her name, place and stead, in any and all capacities, to sign and file a registration statement on Form S-8 for purposes of registering equity securities of Brown &amp; Brown, Inc., issuable under the Brown &amp; Brown, Inc. 2019 Stock Incentive Plan, and any amendments thereto (including any post-effective amendments thereto), with all exhibits thereto and all documents in connection therewith, with the Securities and Exchange Commission in accordance with the rules promulgated by the Commission, granting unto said attorneys-in-fact and agents full power and authority to do and perform each and every act and thing requisite and necessary to be done in and about the foregoing as fully to all intents and purposes as she might or could in person, hereby ratifying and confirming all that said attorneys-in-fact and agents, or their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Pr>
          <w:p>
            <w:pPr>
              <w:spacing w:after="0"/>
              <w:rPr>
                <w:sz w:val="20"/>
                <w:szCs w:val="20"/>
                <w:color w:val="auto"/>
              </w:rPr>
            </w:pPr>
            <w:r>
              <w:rPr>
                <w:rFonts w:ascii="Times New Roman" w:cs="Times New Roman" w:eastAsia="Times New Roman" w:hAnsi="Times New Roman"/>
                <w:sz w:val="21"/>
                <w:szCs w:val="21"/>
                <w:color w:val="auto"/>
              </w:rPr>
              <w:t>Dated: May 6, 2026</w:t>
            </w:r>
          </w:p>
        </w:tc>
        <w:tc>
          <w:tcPr>
            <w:tcW w:w="1280" w:type="dxa"/>
            <w:vAlign w:val="bottom"/>
          </w:tcPr>
          <w:p>
            <w:pPr>
              <w:spacing w:after="0"/>
              <w:rPr>
                <w:sz w:val="21"/>
                <w:szCs w:val="21"/>
                <w:color w:val="auto"/>
              </w:rPr>
            </w:pPr>
          </w:p>
        </w:tc>
        <w:tc>
          <w:tcPr>
            <w:tcW w:w="78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 Kathleen A. Savio</w:t>
            </w:r>
          </w:p>
        </w:tc>
      </w:tr>
      <w:tr>
        <w:trPr>
          <w:trHeight w:val="272"/>
        </w:trPr>
        <w:tc>
          <w:tcPr>
            <w:tcW w:w="2140" w:type="dxa"/>
            <w:vAlign w:val="bottom"/>
          </w:tcPr>
          <w:p>
            <w:pPr>
              <w:spacing w:after="0"/>
              <w:rPr>
                <w:sz w:val="23"/>
                <w:szCs w:val="23"/>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Kathleen</w:t>
            </w:r>
          </w:p>
        </w:tc>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A. Savio</w:t>
            </w:r>
          </w:p>
        </w:tc>
        <w:tc>
          <w:tcPr>
            <w:tcW w:w="4820" w:type="dxa"/>
            <w:vAlign w:val="bottom"/>
          </w:tcPr>
          <w:p>
            <w:pPr>
              <w:spacing w:after="0"/>
              <w:rPr>
                <w:sz w:val="23"/>
                <w:szCs w:val="23"/>
                <w:color w:val="auto"/>
              </w:rPr>
            </w:pPr>
          </w:p>
        </w:tc>
      </w:tr>
      <w:tr>
        <w:trPr>
          <w:trHeight w:val="3295"/>
        </w:trPr>
        <w:tc>
          <w:tcPr>
            <w:tcW w:w="2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BROWN &amp; BROWN,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9"/>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6,900,000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$ 57.52</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$ 54,810.23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396,888,000.00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$0.10 per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$ 54,810.23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396,888,000.00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$ 54,810.23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980" w:firstLine="2"/>
        <w:spacing w:after="0" w:line="248" w:lineRule="auto"/>
        <w:tabs>
          <w:tab w:leader="none" w:pos="1049" w:val="left"/>
        </w:tabs>
        <w:numPr>
          <w:ilvl w:val="0"/>
          <w:numId w:val="10"/>
        </w:numPr>
        <w:rPr>
          <w:rFonts w:ascii="Arial" w:cs="Arial" w:eastAsia="Arial" w:hAnsi="Arial"/>
          <w:sz w:val="21"/>
          <w:szCs w:val="21"/>
          <w:color w:val="auto"/>
        </w:rPr>
      </w:pPr>
      <w:r>
        <w:rPr>
          <w:rFonts w:ascii="Arial" w:cs="Arial" w:eastAsia="Arial" w:hAnsi="Arial"/>
          <w:sz w:val="21"/>
          <w:szCs w:val="21"/>
          <w:color w:val="auto"/>
        </w:rPr>
        <w:t>Pursuant to Rule 416(a) of the Securities Act, this registration statement shall also cover any additional shares of the Registrant's common stock that become issuable under the Brown &amp; Brown, Inc. 2019 Stock Incentive Plan by reason of any stock dividend, stock split, recapitalization or other similar transaction effected without the receipt of consideration that increases the number of the Registrant's outstanding shares of common stock.</w:t>
      </w:r>
    </w:p>
    <w:p>
      <w:pPr>
        <w:spacing w:after="0" w:line="195" w:lineRule="exact"/>
        <w:rPr>
          <w:rFonts w:ascii="Arial" w:cs="Arial" w:eastAsia="Arial" w:hAnsi="Arial"/>
          <w:sz w:val="21"/>
          <w:szCs w:val="21"/>
          <w:color w:val="auto"/>
        </w:rPr>
      </w:pPr>
    </w:p>
    <w:p>
      <w:pPr>
        <w:ind w:left="800" w:right="680" w:firstLine="2"/>
        <w:spacing w:after="0" w:line="252" w:lineRule="auto"/>
        <w:tabs>
          <w:tab w:leader="none" w:pos="1097"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proposed maximum aggregate offering price per unit and the maximum aggregate offering price is estimated solely for the purpose of calculating the registration fee pursuant to Rules 457(c) and 457(h) of the Securities Act on the basis of the average of the high and low sales prices for shares of common stock of the Registrant reported on the New York Stock Exchange on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07"/>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19" Type="http://schemas.openxmlformats.org/officeDocument/2006/relationships/hyperlink" Target="https://www.sec.gov/Archives/edgar/data/79282/000119312526212338/br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2026-05-07T16:19:59Z</dcterms:created>
  <dcterms:modified xsi:type="dcterms:W3CDTF">2026-05-07T16:19:59Z</dcterms:modified>
</cp:coreProperties>
</file>