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May 7, 2026</w:t>
      </w:r>
    </w:p>
    <w:p>
      <w:pPr>
        <w:spacing w:after="0" w:line="16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Registration No. 333-</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REGISTRATION STATEMENT</w:t>
      </w:r>
    </w:p>
    <w:p>
      <w:pPr>
        <w:jc w:val="center"/>
        <w:spacing w:after="0" w:line="224" w:lineRule="auto"/>
        <w:rPr>
          <w:sz w:val="20"/>
          <w:szCs w:val="20"/>
          <w:color w:val="auto"/>
        </w:rPr>
      </w:pPr>
      <w:r>
        <w:rPr>
          <w:rFonts w:ascii="Times New Roman" w:cs="Times New Roman" w:eastAsia="Times New Roman" w:hAnsi="Times New Roman"/>
          <w:sz w:val="11"/>
          <w:szCs w:val="11"/>
          <w:b w:val="1"/>
          <w:bCs w:val="1"/>
          <w:color w:val="auto"/>
        </w:rPr>
        <w:t>UNDER</w:t>
      </w:r>
    </w:p>
    <w:p>
      <w:pPr>
        <w:jc w:val="center"/>
        <w:spacing w:after="0"/>
        <w:rPr>
          <w:sz w:val="20"/>
          <w:szCs w:val="20"/>
          <w:color w:val="auto"/>
        </w:rPr>
      </w:pPr>
      <w:r>
        <w:rPr>
          <w:rFonts w:ascii="Times New Roman" w:cs="Times New Roman" w:eastAsia="Times New Roman" w:hAnsi="Times New Roman"/>
          <w:sz w:val="11"/>
          <w:szCs w:val="11"/>
          <w:b w:val="1"/>
          <w:bCs w:val="1"/>
          <w:color w:val="auto"/>
        </w:rPr>
        <w:t>THE SECURITIES ACT OF 1933</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602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44" w:lineRule="exact"/>
        <w:rPr>
          <w:sz w:val="24"/>
          <w:szCs w:val="24"/>
          <w:color w:val="auto"/>
        </w:rPr>
      </w:pPr>
    </w:p>
    <w:tbl>
      <w:tblPr>
        <w:tblLayout w:type="fixed"/>
        <w:tblInd w:w="2460" w:type="dxa"/>
        <w:tblCellMar>
          <w:top w:w="0" w:type="dxa"/>
          <w:left w:w="0" w:type="dxa"/>
          <w:bottom w:w="0" w:type="dxa"/>
          <w:right w:w="0" w:type="dxa"/>
        </w:tblCellMar>
      </w:tblPr>
      <w:tr>
        <w:trPr>
          <w:trHeight w:val="126"/>
        </w:trPr>
        <w:tc>
          <w:tcPr>
            <w:tcW w:w="3660" w:type="dxa"/>
            <w:vAlign w:val="bottom"/>
          </w:tcPr>
          <w:p>
            <w:pPr>
              <w:jc w:val="center"/>
              <w:ind w:right="2123"/>
              <w:spacing w:after="0"/>
              <w:rPr>
                <w:sz w:val="20"/>
                <w:szCs w:val="20"/>
                <w:color w:val="auto"/>
              </w:rPr>
            </w:pPr>
            <w:r>
              <w:rPr>
                <w:rFonts w:ascii="Times New Roman" w:cs="Times New Roman" w:eastAsia="Times New Roman" w:hAnsi="Times New Roman"/>
                <w:sz w:val="11"/>
                <w:szCs w:val="11"/>
                <w:b w:val="1"/>
                <w:bCs w:val="1"/>
                <w:color w:val="auto"/>
              </w:rPr>
              <w:t>Florida</w:t>
            </w:r>
          </w:p>
        </w:tc>
        <w:tc>
          <w:tcPr>
            <w:tcW w:w="3300" w:type="dxa"/>
            <w:vAlign w:val="bottom"/>
          </w:tcPr>
          <w:p>
            <w:pPr>
              <w:jc w:val="center"/>
              <w:ind w:left="2083"/>
              <w:spacing w:after="0"/>
              <w:rPr>
                <w:sz w:val="20"/>
                <w:szCs w:val="20"/>
                <w:color w:val="auto"/>
              </w:rPr>
            </w:pPr>
            <w:r>
              <w:rPr>
                <w:rFonts w:ascii="Times New Roman" w:cs="Times New Roman" w:eastAsia="Times New Roman" w:hAnsi="Times New Roman"/>
                <w:sz w:val="11"/>
                <w:szCs w:val="11"/>
                <w:b w:val="1"/>
                <w:bCs w:val="1"/>
                <w:color w:val="auto"/>
              </w:rPr>
              <w:t>59-0864469</w:t>
            </w:r>
          </w:p>
        </w:tc>
      </w:tr>
      <w:tr>
        <w:trPr>
          <w:trHeight w:val="118"/>
        </w:trPr>
        <w:tc>
          <w:tcPr>
            <w:tcW w:w="3660" w:type="dxa"/>
            <w:vAlign w:val="bottom"/>
          </w:tcPr>
          <w:p>
            <w:pPr>
              <w:jc w:val="center"/>
              <w:ind w:right="2123"/>
              <w:spacing w:after="0" w:line="119"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3300" w:type="dxa"/>
            <w:vAlign w:val="bottom"/>
          </w:tcPr>
          <w:p>
            <w:pPr>
              <w:jc w:val="center"/>
              <w:ind w:left="2083"/>
              <w:spacing w:after="0" w:line="119"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3660" w:type="dxa"/>
            <w:vAlign w:val="bottom"/>
          </w:tcPr>
          <w:p>
            <w:pPr>
              <w:jc w:val="center"/>
              <w:ind w:right="210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3300" w:type="dxa"/>
            <w:vAlign w:val="bottom"/>
          </w:tcPr>
          <w:p>
            <w:pPr>
              <w:jc w:val="center"/>
              <w:ind w:left="2103"/>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300 North Beach Street</w:t>
      </w:r>
    </w:p>
    <w:p>
      <w:pPr>
        <w:jc w:val="center"/>
        <w:spacing w:after="0" w:line="236" w:lineRule="auto"/>
        <w:rPr>
          <w:sz w:val="20"/>
          <w:szCs w:val="20"/>
          <w:color w:val="auto"/>
        </w:rPr>
      </w:pPr>
      <w:r>
        <w:rPr>
          <w:rFonts w:ascii="Times New Roman" w:cs="Times New Roman" w:eastAsia="Times New Roman" w:hAnsi="Times New Roman"/>
          <w:sz w:val="11"/>
          <w:szCs w:val="11"/>
          <w:b w:val="1"/>
          <w:bCs w:val="1"/>
          <w:color w:val="auto"/>
        </w:rPr>
        <w:t>Daytona Beach, Florida 32114</w:t>
      </w:r>
    </w:p>
    <w:p>
      <w:pPr>
        <w:jc w:val="center"/>
        <w:spacing w:after="0" w:line="224" w:lineRule="auto"/>
        <w:rPr>
          <w:sz w:val="20"/>
          <w:szCs w:val="20"/>
          <w:color w:val="auto"/>
        </w:rPr>
      </w:pPr>
      <w:r>
        <w:rPr>
          <w:rFonts w:ascii="Times New Roman" w:cs="Times New Roman" w:eastAsia="Times New Roman" w:hAnsi="Times New Roman"/>
          <w:sz w:val="11"/>
          <w:szCs w:val="11"/>
          <w:b w:val="1"/>
          <w:bCs w:val="1"/>
          <w:color w:val="auto"/>
        </w:rPr>
        <w:t>(386) 252-9601</w:t>
      </w:r>
    </w:p>
    <w:p>
      <w:pPr>
        <w:jc w:val="center"/>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Eileen Akerson</w:t>
      </w:r>
    </w:p>
    <w:p>
      <w:pPr>
        <w:jc w:val="center"/>
        <w:spacing w:after="0" w:line="236" w:lineRule="auto"/>
        <w:rPr>
          <w:sz w:val="20"/>
          <w:szCs w:val="20"/>
          <w:color w:val="auto"/>
        </w:rPr>
      </w:pPr>
      <w:r>
        <w:rPr>
          <w:rFonts w:ascii="Times New Roman" w:cs="Times New Roman" w:eastAsia="Times New Roman" w:hAnsi="Times New Roman"/>
          <w:sz w:val="11"/>
          <w:szCs w:val="11"/>
          <w:b w:val="1"/>
          <w:bCs w:val="1"/>
          <w:color w:val="auto"/>
        </w:rPr>
        <w:t>Senior Vice President and Chief Legal Officer</w:t>
      </w:r>
    </w:p>
    <w:p>
      <w:pPr>
        <w:jc w:val="center"/>
        <w:spacing w:after="0" w:line="224" w:lineRule="auto"/>
        <w:rPr>
          <w:sz w:val="20"/>
          <w:szCs w:val="20"/>
          <w:color w:val="auto"/>
        </w:rPr>
      </w:pPr>
      <w:r>
        <w:rPr>
          <w:rFonts w:ascii="Times New Roman" w:cs="Times New Roman" w:eastAsia="Times New Roman" w:hAnsi="Times New Roman"/>
          <w:sz w:val="11"/>
          <w:szCs w:val="11"/>
          <w:b w:val="1"/>
          <w:bCs w:val="1"/>
          <w:color w:val="auto"/>
        </w:rPr>
        <w:t>Brown &amp; Brown, Inc.</w:t>
      </w:r>
    </w:p>
    <w:p>
      <w:pPr>
        <w:jc w:val="center"/>
        <w:spacing w:after="0" w:line="225" w:lineRule="auto"/>
        <w:rPr>
          <w:sz w:val="20"/>
          <w:szCs w:val="20"/>
          <w:color w:val="auto"/>
        </w:rPr>
      </w:pPr>
      <w:r>
        <w:rPr>
          <w:rFonts w:ascii="Times New Roman" w:cs="Times New Roman" w:eastAsia="Times New Roman" w:hAnsi="Times New Roman"/>
          <w:sz w:val="11"/>
          <w:szCs w:val="11"/>
          <w:b w:val="1"/>
          <w:bCs w:val="1"/>
          <w:color w:val="auto"/>
        </w:rPr>
        <w:t>300 North Beach Street</w:t>
      </w:r>
    </w:p>
    <w:p>
      <w:pPr>
        <w:jc w:val="center"/>
        <w:spacing w:after="0" w:line="225" w:lineRule="auto"/>
        <w:rPr>
          <w:sz w:val="20"/>
          <w:szCs w:val="20"/>
          <w:color w:val="auto"/>
        </w:rPr>
      </w:pPr>
      <w:r>
        <w:rPr>
          <w:rFonts w:ascii="Times New Roman" w:cs="Times New Roman" w:eastAsia="Times New Roman" w:hAnsi="Times New Roman"/>
          <w:sz w:val="11"/>
          <w:szCs w:val="11"/>
          <w:b w:val="1"/>
          <w:bCs w:val="1"/>
          <w:color w:val="auto"/>
        </w:rPr>
        <w:t>Daytona Beach, Florida 32114</w:t>
      </w:r>
    </w:p>
    <w:p>
      <w:pPr>
        <w:jc w:val="center"/>
        <w:spacing w:after="0" w:line="225" w:lineRule="auto"/>
        <w:rPr>
          <w:sz w:val="20"/>
          <w:szCs w:val="20"/>
          <w:color w:val="auto"/>
        </w:rPr>
      </w:pPr>
      <w:r>
        <w:rPr>
          <w:rFonts w:ascii="Times New Roman" w:cs="Times New Roman" w:eastAsia="Times New Roman" w:hAnsi="Times New Roman"/>
          <w:sz w:val="11"/>
          <w:szCs w:val="11"/>
          <w:b w:val="1"/>
          <w:bCs w:val="1"/>
          <w:color w:val="auto"/>
        </w:rPr>
        <w:t>(386) 252-9601</w:t>
      </w:r>
    </w:p>
    <w:p>
      <w:pPr>
        <w:jc w:val="center"/>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Copies of all communication to:</w:t>
      </w:r>
    </w:p>
    <w:p>
      <w:pPr>
        <w:jc w:val="center"/>
        <w:spacing w:after="0"/>
        <w:rPr>
          <w:sz w:val="20"/>
          <w:szCs w:val="20"/>
          <w:color w:val="auto"/>
        </w:rPr>
      </w:pPr>
      <w:r>
        <w:rPr>
          <w:rFonts w:ascii="Times New Roman" w:cs="Times New Roman" w:eastAsia="Times New Roman" w:hAnsi="Times New Roman"/>
          <w:sz w:val="11"/>
          <w:szCs w:val="11"/>
          <w:b w:val="1"/>
          <w:bCs w:val="1"/>
          <w:color w:val="auto"/>
        </w:rPr>
        <w:t>Tom McAleavey, Esq.</w:t>
      </w:r>
    </w:p>
    <w:p>
      <w:pPr>
        <w:jc w:val="center"/>
        <w:spacing w:after="0" w:line="224" w:lineRule="auto"/>
        <w:rPr>
          <w:sz w:val="20"/>
          <w:szCs w:val="20"/>
          <w:color w:val="auto"/>
        </w:rPr>
      </w:pPr>
      <w:r>
        <w:rPr>
          <w:rFonts w:ascii="Times New Roman" w:cs="Times New Roman" w:eastAsia="Times New Roman" w:hAnsi="Times New Roman"/>
          <w:sz w:val="11"/>
          <w:szCs w:val="11"/>
          <w:b w:val="1"/>
          <w:bCs w:val="1"/>
          <w:color w:val="auto"/>
        </w:rPr>
        <w:t>Holland &amp; Knight LLP</w:t>
      </w:r>
    </w:p>
    <w:p>
      <w:pPr>
        <w:jc w:val="center"/>
        <w:spacing w:after="0" w:line="225" w:lineRule="auto"/>
        <w:rPr>
          <w:sz w:val="20"/>
          <w:szCs w:val="20"/>
          <w:color w:val="auto"/>
        </w:rPr>
      </w:pPr>
      <w:r>
        <w:rPr>
          <w:rFonts w:ascii="Times New Roman" w:cs="Times New Roman" w:eastAsia="Times New Roman" w:hAnsi="Times New Roman"/>
          <w:sz w:val="11"/>
          <w:szCs w:val="11"/>
          <w:b w:val="1"/>
          <w:bCs w:val="1"/>
          <w:color w:val="auto"/>
        </w:rPr>
        <w:t>200 South Orange Avenue, Suite 2600</w:t>
      </w:r>
    </w:p>
    <w:p>
      <w:pPr>
        <w:jc w:val="center"/>
        <w:spacing w:after="0" w:line="225" w:lineRule="auto"/>
        <w:rPr>
          <w:sz w:val="20"/>
          <w:szCs w:val="20"/>
          <w:color w:val="auto"/>
        </w:rPr>
      </w:pPr>
      <w:r>
        <w:rPr>
          <w:rFonts w:ascii="Times New Roman" w:cs="Times New Roman" w:eastAsia="Times New Roman" w:hAnsi="Times New Roman"/>
          <w:sz w:val="11"/>
          <w:szCs w:val="11"/>
          <w:b w:val="1"/>
          <w:bCs w:val="1"/>
          <w:color w:val="auto"/>
        </w:rPr>
        <w:t>Orlando, Florida 32801</w:t>
      </w:r>
    </w:p>
    <w:p>
      <w:pPr>
        <w:jc w:val="center"/>
        <w:spacing w:after="0"/>
        <w:rPr>
          <w:sz w:val="20"/>
          <w:szCs w:val="20"/>
          <w:color w:val="auto"/>
        </w:rPr>
      </w:pPr>
      <w:r>
        <w:rPr>
          <w:rFonts w:ascii="Times New Roman" w:cs="Times New Roman" w:eastAsia="Times New Roman" w:hAnsi="Times New Roman"/>
          <w:sz w:val="11"/>
          <w:szCs w:val="11"/>
          <w:b w:val="1"/>
          <w:bCs w:val="1"/>
          <w:color w:val="auto"/>
        </w:rPr>
        <w:t>Phone: (407) 425-8500</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152"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15"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49"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49"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97"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197"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4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41"/>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12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rPr>
              <w:t>☒</w:t>
            </w:r>
          </w:p>
        </w:tc>
        <w:tc>
          <w:tcPr>
            <w:tcW w:w="3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Accelerated filer</w:t>
            </w:r>
          </w:p>
        </w:tc>
        <w:tc>
          <w:tcPr>
            <w:tcW w:w="2680" w:type="dxa"/>
            <w:vAlign w:val="bottom"/>
          </w:tcPr>
          <w:p>
            <w:pPr>
              <w:ind w:left="2180"/>
              <w:spacing w:after="0" w:line="111" w:lineRule="exact"/>
              <w:rPr>
                <w:sz w:val="20"/>
                <w:szCs w:val="20"/>
                <w:color w:val="auto"/>
              </w:rPr>
            </w:pPr>
            <w:r>
              <w:rPr>
                <w:rFonts w:ascii="MS PGothic" w:cs="MS PGothic" w:eastAsia="MS PGothic" w:hAnsi="MS PGothic"/>
                <w:sz w:val="11"/>
                <w:szCs w:val="11"/>
                <w:color w:val="auto"/>
              </w:rPr>
              <w:t>☐</w:t>
            </w:r>
          </w:p>
        </w:tc>
      </w:tr>
      <w:tr>
        <w:trPr>
          <w:trHeight w:val="140"/>
        </w:trPr>
        <w:tc>
          <w:tcPr>
            <w:tcW w:w="28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12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rPr>
              <w:t>☐</w:t>
            </w:r>
          </w:p>
        </w:tc>
        <w:tc>
          <w:tcPr>
            <w:tcW w:w="3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680" w:type="dxa"/>
            <w:vAlign w:val="bottom"/>
          </w:tcPr>
          <w:p>
            <w:pPr>
              <w:ind w:left="2180"/>
              <w:spacing w:after="0" w:line="111" w:lineRule="exact"/>
              <w:rPr>
                <w:sz w:val="20"/>
                <w:szCs w:val="20"/>
                <w:color w:val="auto"/>
              </w:rPr>
            </w:pPr>
            <w:r>
              <w:rPr>
                <w:rFonts w:ascii="MS PGothic" w:cs="MS PGothic" w:eastAsia="MS PGothic" w:hAnsi="MS PGothic"/>
                <w:sz w:val="11"/>
                <w:szCs w:val="11"/>
                <w:color w:val="auto"/>
              </w:rPr>
              <w:t>☐</w:t>
            </w:r>
          </w:p>
        </w:tc>
      </w:tr>
      <w:tr>
        <w:trPr>
          <w:trHeight w:val="193"/>
        </w:trPr>
        <w:tc>
          <w:tcPr>
            <w:tcW w:w="2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Emerging growth company</w:t>
            </w:r>
          </w:p>
        </w:tc>
        <w:tc>
          <w:tcPr>
            <w:tcW w:w="2680" w:type="dxa"/>
            <w:vAlign w:val="bottom"/>
          </w:tcPr>
          <w:p>
            <w:pPr>
              <w:ind w:left="2180"/>
              <w:spacing w:after="0" w:line="111" w:lineRule="exact"/>
              <w:rPr>
                <w:sz w:val="20"/>
                <w:szCs w:val="20"/>
                <w:color w:val="auto"/>
              </w:rPr>
            </w:pPr>
            <w:r>
              <w:rPr>
                <w:rFonts w:ascii="MS PGothic" w:cs="MS PGothic" w:eastAsia="MS PGothic" w:hAnsi="MS PGothic"/>
                <w:sz w:val="11"/>
                <w:szCs w:val="11"/>
                <w:color w:val="auto"/>
              </w:rPr>
              <w:t>☐</w:t>
            </w:r>
          </w:p>
        </w:tc>
      </w:tr>
      <w:tr>
        <w:trPr>
          <w:trHeight w:val="929"/>
        </w:trPr>
        <w:tc>
          <w:tcPr>
            <w:tcW w:w="28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96" w:right="319" w:bottom="1440" w:gutter="0" w:footer="0" w:header="0"/>
        </w:sectPr>
      </w:pPr>
    </w:p>
    <w:bookmarkStart w:id="1" w:name="page2"/>
    <w:bookmarkEnd w:id="1"/>
    <w:p>
      <w:pPr>
        <w:spacing w:after="0" w:line="14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713740</wp:posOffset>
            </wp:positionV>
            <wp:extent cx="718566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5660" cy="393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-182880</wp:posOffset>
            </wp:positionV>
            <wp:extent cx="71602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-11430</wp:posOffset>
            </wp:positionV>
            <wp:extent cx="71602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82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127000</wp:posOffset>
            </wp:positionV>
            <wp:extent cx="1641475" cy="219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1475" cy="21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Brown &amp; Brown,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243205</wp:posOffset>
            </wp:positionV>
            <wp:extent cx="71602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and/or one or more selling securityholders to be identified in a prospectus supplement (a “selling securityholder”) may offer and sell, from time to time, the following:</w:t>
      </w:r>
    </w:p>
    <w:p>
      <w:pPr>
        <w:spacing w:after="0" w:line="184"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and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w:t>
      </w:r>
    </w:p>
    <w:p>
      <w:pPr>
        <w:spacing w:after="0" w:line="184"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4"/>
          <w:szCs w:val="14"/>
          <w:color w:val="auto"/>
        </w:rPr>
        <w:t>We or any such selling securityholder may sell any combination of these securities in one or more offerings in amounts, at prices and on terms to be determined at the time of the applicable offering and in units consisting of two or more of such classes of securities.</w:t>
      </w:r>
    </w:p>
    <w:p>
      <w:pPr>
        <w:spacing w:after="0" w:line="123"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14"/>
          <w:szCs w:val="14"/>
          <w:color w:val="auto"/>
        </w:rPr>
        <w:t>This prospectus describes some of the general terms that may apply to these securities. We or any such selling securityholder will provide specific terms of these securities in supplements to this prospectus. This prospectus may not be used to sell securities unless accompanied by the applicable prospectus supplement. You should read this prospectus and any supplement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1602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318"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 See “Risk Factors” appearing on page 4 in this prospectus, any accompanying prospectus supplement and in any documents incorporated by reference in this prospectus or any accompanying prospectus supplement before investing in our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traded on The New York Stock Exchange under the symbol “BRO.”</w:t>
      </w:r>
    </w:p>
    <w:p>
      <w:pPr>
        <w:spacing w:after="0" w:line="18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Our securities may be offered directly by us or a selling securityholder, through agents designated from time to time by us, or to or through underwriters or dealers. If any agents or underwriters are involved in the sale of any of our securities, their names, and any applicable purchase price, fee, commission or discount arrangement between or among them, will be set forth in the applicable prospectus supplement or other offering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916940</wp:posOffset>
            </wp:positionV>
            <wp:extent cx="718566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5660" cy="393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102235</wp:posOffset>
            </wp:positionV>
            <wp:extent cx="716026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1157" w:right="319" w:bottom="1440" w:gutter="0" w:footer="0" w:header="0"/>
        </w:sectPr>
      </w:pPr>
    </w:p>
    <w:bookmarkStart w:id="3" w:name="page4"/>
    <w:bookmarkEnd w:id="3"/>
    <w:p>
      <w:pPr>
        <w:spacing w:after="0" w:line="29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6026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The date of this prospectus is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955675</wp:posOffset>
            </wp:positionV>
            <wp:extent cx="718566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5660" cy="393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140970</wp:posOffset>
            </wp:positionV>
            <wp:extent cx="716026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140"/>
          </w:cols>
          <w:pgMar w:left="300" w:top="1157"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45"/>
        </w:trPr>
        <w:tc>
          <w:tcPr>
            <w:tcW w:w="3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age</w:t>
            </w:r>
          </w:p>
        </w:tc>
      </w:tr>
      <w:tr>
        <w:trPr>
          <w:trHeight w:val="345"/>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ABOUT THIS PROSPECTUS</w:t>
            </w:r>
          </w:p>
        </w:tc>
        <w:tc>
          <w:tcPr>
            <w:tcW w:w="10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1</w:t>
            </w:r>
          </w:p>
        </w:tc>
        <w:tc>
          <w:tcPr>
            <w:tcW w:w="5420" w:type="dxa"/>
            <w:vAlign w:val="bottom"/>
          </w:tcPr>
          <w:p>
            <w:pPr>
              <w:spacing w:after="0"/>
              <w:rPr>
                <w:sz w:val="24"/>
                <w:szCs w:val="24"/>
                <w:color w:val="auto"/>
              </w:rPr>
            </w:pPr>
          </w:p>
        </w:tc>
      </w:tr>
      <w:tr>
        <w:trPr>
          <w:trHeight w:val="258"/>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DISCLOSURE REGARDING FORWARD-LOOKING STATEMENTS</w:t>
            </w:r>
          </w:p>
        </w:tc>
        <w:tc>
          <w:tcPr>
            <w:tcW w:w="54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2</w:t>
            </w: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BROWN &amp; BROWN, INC.</w:t>
            </w:r>
          </w:p>
        </w:tc>
        <w:tc>
          <w:tcPr>
            <w:tcW w:w="10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3</w:t>
            </w:r>
          </w:p>
        </w:tc>
        <w:tc>
          <w:tcPr>
            <w:tcW w:w="5420" w:type="dxa"/>
            <w:vAlign w:val="bottom"/>
          </w:tcPr>
          <w:p>
            <w:pPr>
              <w:spacing w:after="0"/>
              <w:rPr>
                <w:sz w:val="22"/>
                <w:szCs w:val="22"/>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RISK FACTORS</w:t>
            </w:r>
          </w:p>
        </w:tc>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w:t>
            </w:r>
          </w:p>
        </w:tc>
        <w:tc>
          <w:tcPr>
            <w:tcW w:w="5420" w:type="dxa"/>
            <w:vAlign w:val="bottom"/>
          </w:tcPr>
          <w:p>
            <w:pPr>
              <w:spacing w:after="0"/>
              <w:rPr>
                <w:sz w:val="22"/>
                <w:szCs w:val="22"/>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USE OF PROCEEDS</w:t>
            </w:r>
          </w:p>
        </w:tc>
        <w:tc>
          <w:tcPr>
            <w:tcW w:w="10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5</w:t>
            </w:r>
          </w:p>
        </w:tc>
        <w:tc>
          <w:tcPr>
            <w:tcW w:w="5420" w:type="dxa"/>
            <w:vAlign w:val="bottom"/>
          </w:tcPr>
          <w:p>
            <w:pPr>
              <w:spacing w:after="0"/>
              <w:rPr>
                <w:sz w:val="22"/>
                <w:szCs w:val="22"/>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DESCRIPTION OF DEBT SECURITIES</w:t>
            </w:r>
          </w:p>
        </w:tc>
        <w:tc>
          <w:tcPr>
            <w:tcW w:w="1020" w:type="dxa"/>
            <w:vAlign w:val="bottom"/>
          </w:tcPr>
          <w:p>
            <w:pPr>
              <w:spacing w:after="0"/>
              <w:rPr>
                <w:sz w:val="22"/>
                <w:szCs w:val="22"/>
                <w:color w:val="auto"/>
              </w:rPr>
            </w:pPr>
          </w:p>
        </w:tc>
        <w:tc>
          <w:tcPr>
            <w:tcW w:w="5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DESCRIPTION OF CAPITAL STOCK</w:t>
            </w:r>
          </w:p>
        </w:tc>
        <w:tc>
          <w:tcPr>
            <w:tcW w:w="1020" w:type="dxa"/>
            <w:vAlign w:val="bottom"/>
          </w:tcPr>
          <w:p>
            <w:pPr>
              <w:spacing w:after="0"/>
              <w:rPr>
                <w:sz w:val="22"/>
                <w:szCs w:val="22"/>
                <w:color w:val="auto"/>
              </w:rPr>
            </w:pPr>
          </w:p>
        </w:tc>
        <w:tc>
          <w:tcPr>
            <w:tcW w:w="5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13</w:t>
            </w: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DESCRIPTION OF WARRANTS</w:t>
            </w:r>
          </w:p>
        </w:tc>
        <w:tc>
          <w:tcPr>
            <w:tcW w:w="10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19</w:t>
            </w:r>
          </w:p>
        </w:tc>
        <w:tc>
          <w:tcPr>
            <w:tcW w:w="5420" w:type="dxa"/>
            <w:vAlign w:val="bottom"/>
          </w:tcPr>
          <w:p>
            <w:pPr>
              <w:spacing w:after="0"/>
              <w:rPr>
                <w:sz w:val="22"/>
                <w:szCs w:val="22"/>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DESCRIPTION OF UNITS</w:t>
            </w:r>
          </w:p>
        </w:tc>
        <w:tc>
          <w:tcPr>
            <w:tcW w:w="10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20</w:t>
            </w:r>
          </w:p>
        </w:tc>
        <w:tc>
          <w:tcPr>
            <w:tcW w:w="5420" w:type="dxa"/>
            <w:vAlign w:val="bottom"/>
          </w:tcPr>
          <w:p>
            <w:pPr>
              <w:spacing w:after="0"/>
              <w:rPr>
                <w:sz w:val="22"/>
                <w:szCs w:val="22"/>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SELLING SECURITYHOLDERS</w:t>
            </w:r>
          </w:p>
        </w:tc>
        <w:tc>
          <w:tcPr>
            <w:tcW w:w="1020" w:type="dxa"/>
            <w:vAlign w:val="bottom"/>
          </w:tcPr>
          <w:p>
            <w:pPr>
              <w:spacing w:after="0"/>
              <w:rPr>
                <w:sz w:val="22"/>
                <w:szCs w:val="22"/>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w:t>
            </w: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PLAN OF DISTRIBUTION</w:t>
            </w:r>
          </w:p>
        </w:tc>
        <w:tc>
          <w:tcPr>
            <w:tcW w:w="10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22</w:t>
            </w:r>
          </w:p>
        </w:tc>
        <w:tc>
          <w:tcPr>
            <w:tcW w:w="5420" w:type="dxa"/>
            <w:vAlign w:val="bottom"/>
          </w:tcPr>
          <w:p>
            <w:pPr>
              <w:spacing w:after="0"/>
              <w:rPr>
                <w:sz w:val="22"/>
                <w:szCs w:val="22"/>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LEGAL MATTERS</w:t>
            </w:r>
          </w:p>
        </w:tc>
        <w:tc>
          <w:tcPr>
            <w:tcW w:w="10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24</w:t>
            </w:r>
          </w:p>
        </w:tc>
        <w:tc>
          <w:tcPr>
            <w:tcW w:w="5420" w:type="dxa"/>
            <w:vAlign w:val="bottom"/>
          </w:tcPr>
          <w:p>
            <w:pPr>
              <w:spacing w:after="0"/>
              <w:rPr>
                <w:sz w:val="22"/>
                <w:szCs w:val="22"/>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EXPERTS</w:t>
            </w:r>
          </w:p>
        </w:tc>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24</w:t>
            </w:r>
          </w:p>
        </w:tc>
        <w:tc>
          <w:tcPr>
            <w:tcW w:w="5420" w:type="dxa"/>
            <w:vAlign w:val="bottom"/>
          </w:tcPr>
          <w:p>
            <w:pPr>
              <w:spacing w:after="0"/>
              <w:rPr>
                <w:sz w:val="22"/>
                <w:szCs w:val="22"/>
                <w:color w:val="auto"/>
              </w:rPr>
            </w:pP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WHERE YOU CAN FIND MORE INFORMATION</w:t>
            </w:r>
          </w:p>
        </w:tc>
        <w:tc>
          <w:tcPr>
            <w:tcW w:w="1020" w:type="dxa"/>
            <w:vAlign w:val="bottom"/>
          </w:tcPr>
          <w:p>
            <w:pPr>
              <w:spacing w:after="0"/>
              <w:rPr>
                <w:sz w:val="22"/>
                <w:szCs w:val="22"/>
                <w:color w:val="auto"/>
              </w:rPr>
            </w:pPr>
          </w:p>
        </w:tc>
        <w:tc>
          <w:tcPr>
            <w:tcW w:w="54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24</w:t>
            </w:r>
          </w:p>
        </w:tc>
      </w:tr>
      <w:tr>
        <w:trPr>
          <w:trHeight w:val="258"/>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rPr>
              <w:t>INCORPORATION BY REFERENCE</w:t>
            </w:r>
          </w:p>
        </w:tc>
        <w:tc>
          <w:tcPr>
            <w:tcW w:w="1020" w:type="dxa"/>
            <w:vAlign w:val="bottom"/>
          </w:tcPr>
          <w:p>
            <w:pPr>
              <w:spacing w:after="0"/>
              <w:rPr>
                <w:sz w:val="22"/>
                <w:szCs w:val="22"/>
                <w:color w:val="auto"/>
              </w:rPr>
            </w:pPr>
          </w:p>
        </w:tc>
        <w:tc>
          <w:tcPr>
            <w:tcW w:w="5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24</w:t>
            </w:r>
          </w:p>
        </w:tc>
      </w:tr>
    </w:tbl>
    <w:p>
      <w:pPr>
        <w:spacing w:after="0" w:line="2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any prospectus supplement, or documents to which we otherwise refer you. Neither we, nor any selling securityholder, have authorized any other person to provide you with different or additional information. If anyone provides you with different or inconsistent information, you should not rely on it. You should not assume that the information in this prospectus, any prospectus supplement or any document incorporated by reference herein or therein is accurate as of any date other than the date on the front of the applicable document. Our business, financial condition, results of operations and prospects may have changed since that date. Neither we, nor any selling securityholder, is making an offer to sell the securities offered by this prospectus in any jurisdiction where the offer or sale is not permitted or in which the person making such offer or sale is not qualified to do so or to any person to whom it is unlawful to make that offer or solicitation.</w:t>
      </w:r>
    </w:p>
    <w:p>
      <w:pPr>
        <w:spacing w:after="0" w:line="144"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4"/>
          <w:szCs w:val="14"/>
          <w:color w:val="auto"/>
        </w:rPr>
        <w:t>The information in this prospectus or any prospectus supplement may not contain all of the information that may be important to you. You should read the entire prospectus and any prospectus supplement, as well as the documents incorporated by reference in the prospectus and any prospectus supplement, before making an investment decision.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00"/>
          </w:cols>
          <w:pgMar w:left="300" w:top="1157"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as a “well-known seasoned issuer” filed with the Securities and Exchange Commission (the “SEC”) utilizing a “shelf” registration process. Under this shelf process, we may, from time to time, offer and sell any combination of the securities described in this prospectus in one or more offerings. This prospectus provides you with a general description of these securities that we or any selling securityholder may offer. Each time we, or any selling securityholder, sell securities, we will provide a prospectus supplement that will contain specific information about the terms of the offered securities and the offering, including a detailed description of the securities to be offered, the specific amount or amounts of securities to be offered, the prices of such securities, the name of any agent, underwriter or dealer through which we will sell the securities and a description of any arrangement with such agent, underwriter or dealer, information about any securities exchange or automated quotation system on which the securities will be listed and the identity of any selling securityholder. The prospectus supplement may also add, update or change information contained in this prospectus. If there is any inconsistency between the information in this prospectus and any applicable prospectus supplement, you should rely on the information in the applicable prospectus supplement. You should read both this prospectus and any applicable prospectus supplement together with the additional information described below under the headings “Where You Can Find More Information” and “Incorporation by Reference” before you decide to invest in any of these securities.</w:t>
      </w:r>
    </w:p>
    <w:p>
      <w:pPr>
        <w:spacing w:after="0" w:line="320"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4"/>
          <w:szCs w:val="14"/>
          <w:color w:val="auto"/>
        </w:rPr>
        <w:t>As allowed by SEC rules, this prospectus does not contain all the information you can find in the registration statement of which this prospectus is a part or the exhibits to the registration statement. For further information, we refer you to the registration statement of which this prospectus is a part, including its exhibits and schedules.</w:t>
      </w:r>
    </w:p>
    <w:p>
      <w:pPr>
        <w:spacing w:after="0" w:line="12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When used in this prospectus and any prospectus supplement, unless otherwise specified or the context otherwise requires, the terms “Brown &amp; Brown,” “we,” “our,” “us” and the “Company” refer to Brown &amp; Brown, Inc. and its subsidiaries. The following summary contains basic information about us. It likely does not contain all the information that is important to you. We encourage you to read this entire prospectus and the documents we have referred you to.</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contain, and any applicable prospectus supplement and the documents incorporated by reference therein may contain, summaries of certain agreements and other instruments. Additionally, statements contained in this prospectus about the provisions or contents of any contract, agreement or other document are not necessarily complete. Reference is made to the actual agreements and other instruments for complete information, and all of the summaries are qualified in their entirety by the actual agreements and other instruments. Copies of such agreements and other instruments may be filed as exhibits to the registration statement of which this prospectus forms a part or incorporated by reference into this prospectus or the applicable prospectus supplement, and you may obtain copies of those agreements and other instruments as described under “Where You Can Find More Information.” Such agreements and other instruments are intended to provide you with information regarding the terms of such agreements and other instruments and not to provide any other factual or disclosure information about the Company or any other parties to such agreements and other instruments. Such agreements and other instruments may contain representations, warranties, covenants and other agreements by each of the parties to the applicable agreement or other instrument. These representations, warranties, covenants and other agreements have been made solely for the benefit of the other parties to the applicable agreement or other instrument and:</w:t>
      </w:r>
    </w:p>
    <w:p>
      <w:pPr>
        <w:spacing w:after="0" w:line="147"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not in any instances be treated as categorical statements of fact, but rather as a way of allocating the risk among the parties if those statements prove to be inaccurate;</w:t>
      </w:r>
    </w:p>
    <w:p>
      <w:pPr>
        <w:spacing w:after="0" w:line="183" w:lineRule="exact"/>
        <w:rPr>
          <w:rFonts w:ascii="Times New Roman" w:cs="Times New Roman" w:eastAsia="Times New Roman" w:hAnsi="Times New Roman"/>
          <w:sz w:val="14"/>
          <w:szCs w:val="14"/>
          <w:color w:val="auto"/>
        </w:rPr>
      </w:pPr>
    </w:p>
    <w:p>
      <w:pPr>
        <w:ind w:left="760" w:right="80" w:hanging="378"/>
        <w:spacing w:after="0" w:line="294" w:lineRule="auto"/>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be qualified by disclosures that were made to the other party in connection with the negotiation of the applicable document, which disclosures are not necessarily reflected in the document;</w:t>
      </w:r>
    </w:p>
    <w:p>
      <w:pPr>
        <w:spacing w:after="0" w:line="122"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apply standards of materiality in a way that is different from what may be viewed as material to you or other investors;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7" w:right="319" w:bottom="1440" w:gutter="0" w:footer="0" w:header="0"/>
        </w:sectPr>
      </w:pPr>
    </w:p>
    <w:bookmarkStart w:id="6" w:name="page7"/>
    <w:bookmarkEnd w:id="6"/>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made only as of the date of the applicable document or such other date or dates as may be specified in the document and are subject to more recent developments.</w:t>
      </w:r>
    </w:p>
    <w:p>
      <w:pPr>
        <w:spacing w:after="0" w:line="181" w:lineRule="exact"/>
        <w:rPr>
          <w:rFonts w:ascii="Times New Roman" w:cs="Times New Roman" w:eastAsia="Times New Roman" w:hAnsi="Times New Roman"/>
          <w:sz w:val="14"/>
          <w:szCs w:val="14"/>
          <w:color w:val="auto"/>
        </w:rPr>
      </w:pPr>
    </w:p>
    <w:p>
      <w:pPr>
        <w:ind w:left="3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DISCLOSURE REGARDING FORWARD-LOOKING STATEMENTS</w:t>
      </w:r>
    </w:p>
    <w:p>
      <w:pPr>
        <w:spacing w:after="0" w:line="18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make “forward-looking statements” within the “safe harbor” provision of the Private Securities Litigation Reform Act of 1995, as amended, throughout this prospectus and in the documents we incorporate by reference into this prospectus.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prospectus and the reports, statements, information and announcements incorporated by reference into this prospectus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w:t>
      </w:r>
    </w:p>
    <w:p>
      <w:pPr>
        <w:spacing w:after="0" w:line="14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For a description of various risks, relevant factors and uncertainties that could cause future results or events to differ materially from those expressed or implied in our forward-looking statements, see the “Risk Factors” and “Management’s Discussion and Analysis of Financial Condition and Results of Operations” sections contained in any applicable prospectus supplement and the documents incorporated by reference in this prospectus and any prospectus supplement. All forward-looking statements made herein are made only as of the date of this filing, and we do not undertake any obligation to publicly update or correct any forward-looking statements to reflect events or circumstances that subsequently occur or of which we hereafter become aware.</w:t>
      </w: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20"/>
          </w:cols>
          <w:pgMar w:left="300" w:top="1159" w:right="37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BROWN &amp; BROWN,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18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4"/>
          <w:szCs w:val="14"/>
          <w:color w:val="auto"/>
        </w:rPr>
        <w:t>We are a diversified insurance agency, wholesale brokerage, insurance programs, specialty insurance business and service organization headquartered in Daytona Beach, Florida. We market and sell insurance products and services, primarily in the property, casualty and employee benefits areas. We primarily operate as an agent or broker not assuming underwriting risks.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divided into two reportable segments:</w:t>
      </w:r>
    </w:p>
    <w:p>
      <w:pPr>
        <w:spacing w:after="0" w:line="184" w:lineRule="exact"/>
        <w:rPr>
          <w:sz w:val="20"/>
          <w:szCs w:val="20"/>
          <w:color w:val="auto"/>
        </w:rPr>
      </w:pPr>
    </w:p>
    <w:p>
      <w:pPr>
        <w:ind w:left="760" w:hanging="378"/>
        <w:spacing w:after="0" w:line="294"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Retail segment, which provides a broad range of insurance products and services to commercial, public and quasi-public entities, and to professional and individual customers, as well as non-insurance warranty services and products through our automobile and recreational vehicle dealer services businesses; and</w:t>
      </w:r>
    </w:p>
    <w:p>
      <w:pPr>
        <w:spacing w:after="0" w:line="122" w:lineRule="exact"/>
        <w:rPr>
          <w:rFonts w:ascii="Times New Roman" w:cs="Times New Roman" w:eastAsia="Times New Roman" w:hAnsi="Times New Roman"/>
          <w:sz w:val="14"/>
          <w:szCs w:val="14"/>
          <w:color w:val="auto"/>
        </w:rPr>
      </w:pPr>
    </w:p>
    <w:p>
      <w:pPr>
        <w:ind w:left="760" w:right="60" w:hanging="378"/>
        <w:spacing w:after="0" w:line="264"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Specialty Distribution segment, which consists of our programs, wholesale brokerage and specialty businesses. The programs businesses, which act as managing general underwriters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The wholesale brokerage businesses underwrite and place excess and surplus commercial and personal lines insurance, typically for specialized or hard-to-place types of risks, primarily through a global network of independent agents and brokers, including Brown &amp; Brown retail agents. The specialty businesses offer solutions across affinity and administrative services, captives, reinsurance, travel/accident, warranty and life &amp; health.</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address of our principal executive offices is 300 North Beach Street, Daytona Beach, Florida 32114, and our telephone number at such address is (386) 252-9601.</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80"/>
          </w:cols>
          <w:pgMar w:left="300" w:top="1157" w:right="4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Investing in our securities involves risk. Before making an investment decision, you should carefully consider the specific risks set forth under the caption “Risk Factors” in the applicable prospectus supplement and under the caption “Risk Factors” and elsewhere in our filings with the SEC pursuant to Sections 13(a), 13(c), 14 or 15(d) of the Securities Exchange Act of 1934, as amended (the “Exchange Act”), which are incorporated by reference in this prospectus. See “Incorporation by Reference” below. If any of these risks actually occur, our financial condition, results of operations and cash flows could be adversely affected, and this may cause you to lose all or part of your investment in our securities. Please also refer to the section above entitled “Disclosure Regarding Forward-Looking Statements.”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1157"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we expect to use the net proceeds from the sale of any securities offered by us pursuant to this prospectus for general corporate purposes. General corporate purposes may include, without limitation:</w:t>
      </w:r>
    </w:p>
    <w:p>
      <w:pPr>
        <w:spacing w:after="0" w:line="123"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of or investments in other businesses;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repayment and refinancing of outstanding debt;</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repurchases of shares of our common stock; and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to or investments in our subsidiaries.</w:t>
      </w:r>
    </w:p>
    <w:p>
      <w:pPr>
        <w:spacing w:after="0" w:line="184" w:lineRule="exact"/>
        <w:rPr>
          <w:sz w:val="20"/>
          <w:szCs w:val="20"/>
          <w:color w:val="auto"/>
        </w:rPr>
      </w:pPr>
    </w:p>
    <w:p>
      <w:pPr>
        <w:ind w:right="560"/>
        <w:spacing w:after="0" w:line="294" w:lineRule="auto"/>
        <w:rPr>
          <w:sz w:val="20"/>
          <w:szCs w:val="20"/>
          <w:color w:val="auto"/>
        </w:rPr>
      </w:pPr>
      <w:r>
        <w:rPr>
          <w:rFonts w:ascii="Times New Roman" w:cs="Times New Roman" w:eastAsia="Times New Roman" w:hAnsi="Times New Roman"/>
          <w:sz w:val="14"/>
          <w:szCs w:val="14"/>
          <w:color w:val="auto"/>
        </w:rPr>
        <w:t>Our management will retain broad discretion in the allocation of the net proceeds from the sale of these securities. Pending any specific application described in the applicable prospectus supplement, net proceeds may be initially invested in short-term interest-bearing accounts, securities or similar investments or applied to reduce our short-term indebtedness.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indicated in the applicable prospectus supplement, we will not receive any proceeds from the sale of securities by any selling securityholder named in a prospectus supplement.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40"/>
          </w:cols>
          <w:pgMar w:left="300" w:top="1157" w:right="3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86"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4"/>
          <w:szCs w:val="14"/>
          <w:color w:val="auto"/>
        </w:rPr>
        <w:t>The following description sets forth general terms and provisions of the debt securities that we may offer under this prospectus and the applicable prospectus supplement. We will provide additional or different terms of the debt securities in the applicable prospectus supplement.</w:t>
      </w:r>
    </w:p>
    <w:p>
      <w:pPr>
        <w:spacing w:after="0" w:line="123"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14"/>
          <w:szCs w:val="14"/>
          <w:color w:val="auto"/>
        </w:rPr>
        <w:t>Any debt securities that we issue will be issued under an indenture, dated as of September 18, 2014, between us and U.S. Bank Trust Company, National Association (as successor to U.S. Bank National Association), as trustee. The indenture is incorporated by reference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such general provisions may apply to the debt securities will be described in the related prospectus supplement.</w:t>
      </w:r>
    </w:p>
    <w:p>
      <w:pPr>
        <w:spacing w:after="0" w:line="14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4"/>
          <w:szCs w:val="14"/>
          <w:color w:val="auto"/>
        </w:rPr>
        <w:t>This prospectus summarizes what we believe to be the material provisions of the indenture and the debt securities that we may issue under such indenture. This summary is not complete and may not describe all of the provisions of the indenture or of the debt securities that may be important to you, and is subject to, and qualified in its entirety by reference to all of the provisions of the indenture. For additional information, you should carefully read the indenture that is incorporated by reference to the registration statement of which this prospectus forms a part.</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when we offer to sell a particular series of debt securities, we will describe the specific terms of those debt securities and the indenture in a supplement to this prospectus. The terms of such a particular series of debt securities may differ from the terms described in this prospectus. As a result, the particular terms of the debt securities offered by any prospectus supplement and the extent, if any, to which these general provisions may apply to the debt securities, will be described in the applicable prospectus supplement.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for a description of the terms of a particular issue of debt securities, reference must be made to both the applicable prospectus supplement and to the following description.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6"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4"/>
          <w:szCs w:val="14"/>
          <w:color w:val="auto"/>
        </w:rPr>
        <w:t>The debt securities may be issued in one or more series as may be authorized from time to time. Reference is made to the applicable prospectus supplement for the following terms of the debt securities (if applicable):</w:t>
      </w:r>
    </w:p>
    <w:p>
      <w:pPr>
        <w:spacing w:after="0" w:line="123"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and aggregate principal amount;</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will be secured or unsecured, and if secured, what the collateral will consist of;</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subordination provisions, if any;</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into other securities;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or percentages of principal amount at which such securities will be issued;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stated maturity date(s);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or the method for determining the interest rate(s);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dates on which interest will accrue or the method for determining dates on which interest will accrue and dates on which interest will be payable;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(including upon a “change of control”) or early repayment provisions;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1157" w:right="339" w:bottom="1440" w:gutter="0" w:footer="0" w:header="0"/>
        </w:sectPr>
      </w:pPr>
    </w:p>
    <w:bookmarkStart w:id="11" w:name="page12"/>
    <w:bookmarkEnd w:id="11"/>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of discount or premium, if any, with which such securities will be issued;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securities will be issued in whole or in part in the form of one or more global securities;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of the depositary for global securities;</w:t>
      </w:r>
    </w:p>
    <w:p>
      <w:pPr>
        <w:spacing w:after="0" w:line="183" w:lineRule="exact"/>
        <w:rPr>
          <w:rFonts w:ascii="Times New Roman" w:cs="Times New Roman" w:eastAsia="Times New Roman" w:hAnsi="Times New Roman"/>
          <w:sz w:val="14"/>
          <w:szCs w:val="14"/>
          <w:color w:val="auto"/>
        </w:rPr>
      </w:pPr>
    </w:p>
    <w:p>
      <w:pPr>
        <w:ind w:left="760" w:hanging="378"/>
        <w:spacing w:after="0" w:line="294" w:lineRule="auto"/>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22" w:lineRule="exact"/>
        <w:rPr>
          <w:rFonts w:ascii="Times New Roman" w:cs="Times New Roman" w:eastAsia="Times New Roman" w:hAnsi="Times New Roman"/>
          <w:sz w:val="14"/>
          <w:szCs w:val="14"/>
          <w:color w:val="auto"/>
        </w:rPr>
      </w:pPr>
    </w:p>
    <w:p>
      <w:pPr>
        <w:ind w:left="760" w:right="200" w:hanging="378"/>
        <w:spacing w:after="0" w:line="294" w:lineRule="auto"/>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upon which beneficial interests in a temporary global security may be exchanged in whole or in part for beneficial interests in a definitive global security or for individual definitive securities;</w:t>
      </w:r>
    </w:p>
    <w:p>
      <w:pPr>
        <w:spacing w:after="0" w:line="122"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defaults and events of default applicable to the particular debt securities being issued;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currencies or currency units in which the purchase price for, the principal of and any premium and any interest on, such securities will be payable;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period within which, the manner in which and the terms and conditions upon which the purchaser of the securities can select the payment currency;</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exchange(s) on which the securities will be listed, if any;</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underwriter(s) will act as market maker(s) for the securities;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extent to which a secondary market for the securities is expected to develop;</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securities under a sinking fund, amortization or analogous provision;</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covenant defeasance and legal defeasance;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satisfaction and discharge of the indenture;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 and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terms not inconsistent with the provisions of the indenture.</w:t>
      </w:r>
    </w:p>
    <w:p>
      <w:pPr>
        <w:spacing w:after="0" w:line="184"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4"/>
          <w:szCs w:val="14"/>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variable-rate debt securities that may be exchanged for fixed-rate debt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the applicable prospectus supplement.</w:t>
      </w:r>
    </w:p>
    <w:p>
      <w:pPr>
        <w:spacing w:after="0" w:line="18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4"/>
          <w:szCs w:val="14"/>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9" w:right="319" w:bottom="1440" w:gutter="0" w:footer="0" w:header="0"/>
        </w:sectPr>
      </w:pPr>
    </w:p>
    <w:bookmarkStart w:id="12" w:name="page13"/>
    <w:bookmarkEnd w:id="12"/>
    <w:p>
      <w:pPr>
        <w:jc w:val="both"/>
        <w:ind w:right="180"/>
        <w:spacing w:after="0" w:line="294" w:lineRule="auto"/>
        <w:rPr>
          <w:sz w:val="20"/>
          <w:szCs w:val="20"/>
          <w:color w:val="auto"/>
        </w:rPr>
      </w:pPr>
      <w:r>
        <w:rPr>
          <w:rFonts w:ascii="Times New Roman" w:cs="Times New Roman" w:eastAsia="Times New Roman" w:hAnsi="Times New Roman"/>
          <w:sz w:val="14"/>
          <w:szCs w:val="14"/>
          <w:color w:val="auto"/>
        </w:rPr>
        <w:t>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2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23"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$1,000 and any integral multiples thereof. Subject to the limitations provided in the indenture and in the prospectus supplement, debt securities that are issued in registered form may be transferred or exchanged at the corporate office of the trustee or the principal corporate trust office of the trustee, without the payment of any service charge, other than any tax or other governmental charge payable in connection therewith.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Amalgamation, Merger and Sale of Assets</w:t>
      </w:r>
    </w:p>
    <w:p>
      <w:pPr>
        <w:spacing w:after="0" w:line="18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The indenture provides that we may consolidate with or merge or convert into, or convey, transfer or lease our properties or assets substantially as an entirety to, another person without the consent of any debt securityholders if, along with certain other conditions set forth in the indenture:</w:t>
      </w:r>
    </w:p>
    <w:p>
      <w:pPr>
        <w:spacing w:after="0" w:line="123" w:lineRule="exact"/>
        <w:rPr>
          <w:sz w:val="20"/>
          <w:szCs w:val="20"/>
          <w:color w:val="auto"/>
        </w:rPr>
      </w:pPr>
    </w:p>
    <w:p>
      <w:pPr>
        <w:ind w:left="760" w:right="60" w:hanging="378"/>
        <w:spacing w:after="0" w:line="266" w:lineRule="auto"/>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(i) the Company shall be the continuing entity (in the case of merger) or (ii) the successor, acquiror or lessor of such assets is a corporation organized and existing under the laws of the United States, any state thereof or the District of Columbia and expressly assumes by supplemental indenture in a form satisfactory to the Trustee, the due and punctual payment of the principal of, any premium and interest on all the outstanding debt securities and the due and punctual performance and observance of every obligation in the indenture and the outstanding debt securities on the part of the Company to be performed or observed, and which supplemental indenture shall provide for conversion or exchange rights in accordance with the provisions of the debt securities of any series that are convertible or exchangeable into common stock or other securities;</w:t>
      </w:r>
    </w:p>
    <w:p>
      <w:pPr>
        <w:spacing w:after="0" w:line="14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event of default shall have occurred and be continuing; and</w:t>
      </w:r>
    </w:p>
    <w:p>
      <w:pPr>
        <w:spacing w:after="0" w:line="183" w:lineRule="exact"/>
        <w:rPr>
          <w:rFonts w:ascii="Times New Roman" w:cs="Times New Roman" w:eastAsia="Times New Roman" w:hAnsi="Times New Roman"/>
          <w:sz w:val="14"/>
          <w:szCs w:val="14"/>
          <w:color w:val="auto"/>
        </w:rPr>
      </w:pPr>
    </w:p>
    <w:p>
      <w:pPr>
        <w:ind w:left="760" w:right="100" w:hanging="378"/>
        <w:spacing w:after="0" w:line="294" w:lineRule="auto"/>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we or the successor has delivered to the trustee an officers’ certificate and opinion of counsel, each stating that the transaction complies with Article 8 of the indenture and that all conditions precedent provided for in the indenture relating to such transaction have been complied with.</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Thereafter, except in the case of a lease, the predecessor or transferor of such assets will be released from all obligations and covenants under the relevant indenture and such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86"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4"/>
          <w:szCs w:val="14"/>
          <w:color w:val="auto"/>
        </w:rPr>
        <w:t>The following events will constitute an event of default under the indenture with respect to any series of debt securities (whatever the reason for such event of default and whether it will be voluntary or involuntary or be effected by operation of law or pursuant to any judgment, decree or order of any court or any order, rule or regulation of any administrative or governmental body):</w:t>
      </w:r>
    </w:p>
    <w:p>
      <w:pPr>
        <w:spacing w:after="0" w:line="123" w:lineRule="exact"/>
        <w:rPr>
          <w:sz w:val="20"/>
          <w:szCs w:val="20"/>
          <w:color w:val="auto"/>
        </w:rPr>
      </w:pPr>
    </w:p>
    <w:p>
      <w:pPr>
        <w:ind w:left="760" w:right="420" w:hanging="378"/>
        <w:spacing w:after="0" w:line="294"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interest on any debt security of that series when due and such failure continues for 30 days, unless the time for payment has been properly extended or deferred in accordance with the terms of such debt security;</w:t>
      </w:r>
    </w:p>
    <w:p>
      <w:pPr>
        <w:spacing w:after="0" w:line="122" w:lineRule="exact"/>
        <w:rPr>
          <w:rFonts w:ascii="Times New Roman" w:cs="Times New Roman" w:eastAsia="Times New Roman" w:hAnsi="Times New Roman"/>
          <w:sz w:val="14"/>
          <w:szCs w:val="14"/>
          <w:color w:val="auto"/>
        </w:rPr>
      </w:pPr>
    </w:p>
    <w:p>
      <w:pPr>
        <w:ind w:left="760" w:right="40" w:hanging="378"/>
        <w:spacing w:after="0" w:line="294"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pay the principal of, or any premium on, any debt security of that series when due, unless the maturity has been properly extended in accordance with the terms of such debt security;</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9" w:right="319" w:bottom="1440" w:gutter="0" w:footer="0" w:header="0"/>
        </w:sectPr>
      </w:pPr>
    </w:p>
    <w:bookmarkStart w:id="13" w:name="page14"/>
    <w:bookmarkEnd w:id="13"/>
    <w:p>
      <w:pPr>
        <w:ind w:left="760" w:right="80" w:hanging="378"/>
        <w:spacing w:after="0" w:line="275"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fail to observe or perform any other covenant or agreement contained in any debt security of that series or the indenture (other than certain covenants or warranties enumerated in the indenture), and such failure continues for 90 days after we receive a notice of default from the trustee or from holders of at least 25% in aggregate principal amount of the outstanding debt securities of that series;</w:t>
      </w:r>
    </w:p>
    <w:p>
      <w:pPr>
        <w:spacing w:after="0" w:line="135" w:lineRule="exact"/>
        <w:rPr>
          <w:rFonts w:ascii="Times New Roman" w:cs="Times New Roman" w:eastAsia="Times New Roman" w:hAnsi="Times New Roman"/>
          <w:sz w:val="14"/>
          <w:szCs w:val="14"/>
          <w:color w:val="auto"/>
        </w:rPr>
      </w:pPr>
    </w:p>
    <w:p>
      <w:pPr>
        <w:ind w:left="760" w:right="240" w:hanging="378"/>
        <w:spacing w:after="0" w:line="275"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under any Indebtedness by us or any of our subsidiaries that results in the acceleration of the maturity of such Indebtedness, or failure to pay any such Indebtedness at maturity, in an aggregate amount greater than $50,000,000 or its foreign currency equivalent at the time, provided that the cure of such default shall remedy such Event of Default with respect to such debt security;</w:t>
      </w:r>
    </w:p>
    <w:p>
      <w:pPr>
        <w:spacing w:after="0" w:line="13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or insolvency, whether voluntary or not;</w:t>
      </w:r>
    </w:p>
    <w:p>
      <w:pPr>
        <w:spacing w:after="0" w:line="183" w:lineRule="exact"/>
        <w:rPr>
          <w:rFonts w:ascii="Times New Roman" w:cs="Times New Roman" w:eastAsia="Times New Roman" w:hAnsi="Times New Roman"/>
          <w:sz w:val="14"/>
          <w:szCs w:val="14"/>
          <w:color w:val="auto"/>
        </w:rPr>
      </w:pPr>
    </w:p>
    <w:p>
      <w:pPr>
        <w:jc w:val="both"/>
        <w:ind w:left="760" w:hanging="378"/>
        <w:spacing w:after="0" w:line="275" w:lineRule="auto"/>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delivery of any shares of common stock, together with cash in lieu of fractional shares, or any other securities or property (including cash) when required to be delivered upon conversion of any convertible security of such series or upon the exchange of any security of such series which is exchangeable for other securities or property, and continuance of such default for a period of 10 days; and</w:t>
      </w:r>
    </w:p>
    <w:p>
      <w:pPr>
        <w:spacing w:after="0" w:line="222"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in or pursuant to the indenture with respect to the debt securities of such series.</w:t>
      </w:r>
    </w:p>
    <w:p>
      <w:pPr>
        <w:spacing w:after="0" w:line="2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If an event of default with respect to the debt securities of any series (other than an event of default resulting from certain events of bankruptcy or insolvency) occurs and is continuing, the trustee or the holders of at least 25% in aggregate principal amount of the outstanding debt securities of such series may declare the principal of all such debt securities of such series, or such lesser amount as may be provided for in the debt securities of such series, plus accrued and unpaid interest to the date of acceleration, immediately due and payable. Upon an event of default resulting from certain events of bankruptcy or insolvency, the principal of outstanding debt securities, or such lesser amount as may be provided for in the debt securities of such series, plus accrued and unpaid interest to the date of acceleration, shall be immediately due and payable.</w:t>
      </w:r>
    </w:p>
    <w:p>
      <w:pPr>
        <w:spacing w:after="0" w:line="142"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 series may waive any default or event of default with respect to such series and its consequences under the indenture except:</w:t>
      </w:r>
    </w:p>
    <w:p>
      <w:pPr>
        <w:spacing w:after="0" w:line="123"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continuing default or event of default in the payment of interest or any premium on, or the principal of, any debt security of such series; or</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debt securities which are convertible into or exchangeable for common stock or other securities or property, a default in any such conversion or exchange; or</w:t>
      </w:r>
    </w:p>
    <w:p>
      <w:pPr>
        <w:spacing w:after="0" w:line="183" w:lineRule="exact"/>
        <w:rPr>
          <w:rFonts w:ascii="Times New Roman" w:cs="Times New Roman" w:eastAsia="Times New Roman" w:hAnsi="Times New Roman"/>
          <w:sz w:val="14"/>
          <w:szCs w:val="14"/>
          <w:color w:val="auto"/>
        </w:rPr>
      </w:pPr>
    </w:p>
    <w:p>
      <w:pPr>
        <w:ind w:left="760" w:right="180" w:hanging="378"/>
        <w:spacing w:after="0" w:line="294"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respect of a covenant or provision which cannot be modified or amended under Article Nine of the indenture without the consent of the holder of each outstanding debt security of such series affected.</w:t>
      </w:r>
    </w:p>
    <w:p>
      <w:pPr>
        <w:spacing w:after="0" w:line="12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If an event of default occurs and is continuing, the trustee will be under no obligation to exercise any of its rights or powers under the indenture unless the holders have offered the trustee security or indemnity reasonably satisfactory to the trustee against the costs, expenses and liabilities that it might incur.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such series, provided that:</w:t>
      </w:r>
    </w:p>
    <w:p>
      <w:pPr>
        <w:spacing w:after="0" w:line="140"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direction is not in conflict with any law or the applicable indenture or with the debt securities of any series; and</w:t>
      </w:r>
    </w:p>
    <w:p>
      <w:pPr>
        <w:spacing w:after="0" w:line="183" w:lineRule="exact"/>
        <w:rPr>
          <w:rFonts w:ascii="Times New Roman" w:cs="Times New Roman" w:eastAsia="Times New Roman" w:hAnsi="Times New Roman"/>
          <w:sz w:val="14"/>
          <w:szCs w:val="14"/>
          <w:color w:val="auto"/>
        </w:rPr>
      </w:pPr>
    </w:p>
    <w:p>
      <w:pPr>
        <w:ind w:left="760" w:right="440" w:hanging="378"/>
        <w:spacing w:after="0" w:line="294" w:lineRule="auto"/>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provided under the Trust Indenture Act of 1939, as amended (the “Trust Indenture Act”), the trustee need not take any action that might involve it in personal liability.</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40"/>
          </w:cols>
          <w:pgMar w:left="300" w:top="115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A holder of a debt security will only have the right to institute a proceeding under the indenture or to appoint a receiver or trustee, or to seek other remedies, if:</w:t>
      </w:r>
    </w:p>
    <w:p>
      <w:pPr>
        <w:spacing w:after="0" w:line="18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the debt securities of such series;</w:t>
      </w:r>
    </w:p>
    <w:p>
      <w:pPr>
        <w:spacing w:after="0" w:line="183" w:lineRule="exact"/>
        <w:rPr>
          <w:rFonts w:ascii="Times New Roman" w:cs="Times New Roman" w:eastAsia="Times New Roman" w:hAnsi="Times New Roman"/>
          <w:sz w:val="14"/>
          <w:szCs w:val="14"/>
          <w:color w:val="auto"/>
        </w:rPr>
      </w:pPr>
    </w:p>
    <w:p>
      <w:pPr>
        <w:ind w:left="760" w:right="40" w:hanging="378"/>
        <w:spacing w:after="0" w:line="294"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have made written request to the trustee to institute proceedings in respect of such Event of Default in its own name as trustee under the indenture;</w:t>
      </w:r>
    </w:p>
    <w:p>
      <w:pPr>
        <w:spacing w:after="0" w:line="122"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the trustee indemnity reasonably satisfactory to it against the costs, expenses and liabilities to be incurred in compliance with such request; and</w:t>
      </w:r>
    </w:p>
    <w:p>
      <w:pPr>
        <w:spacing w:after="0" w:line="183" w:lineRule="exact"/>
        <w:rPr>
          <w:rFonts w:ascii="Times New Roman" w:cs="Times New Roman" w:eastAsia="Times New Roman" w:hAnsi="Times New Roman"/>
          <w:sz w:val="14"/>
          <w:szCs w:val="14"/>
          <w:color w:val="auto"/>
        </w:rPr>
      </w:pPr>
    </w:p>
    <w:p>
      <w:pPr>
        <w:ind w:left="760" w:right="320" w:hanging="378"/>
        <w:spacing w:after="0" w:line="294" w:lineRule="auto"/>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a proceeding, and does not receive conflicting directions from a majority in principal amount of the holders of the outstanding debt securities of such series within 60 days of receiving the written notice of an event of default.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Without the consent of any holders of debt securities, we and the trustee may modify or amend the indenture, including to:</w:t>
      </w:r>
    </w:p>
    <w:p>
      <w:pPr>
        <w:spacing w:after="0" w:line="18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any ambiguity, defect or inconsistency in the indenture;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the assumption of a successor corporation of our obligations under the indenture and the outstanding debt securities;</w:t>
      </w:r>
    </w:p>
    <w:p>
      <w:pPr>
        <w:spacing w:after="0" w:line="183" w:lineRule="exact"/>
        <w:rPr>
          <w:rFonts w:ascii="Times New Roman" w:cs="Times New Roman" w:eastAsia="Times New Roman" w:hAnsi="Times New Roman"/>
          <w:sz w:val="14"/>
          <w:szCs w:val="14"/>
          <w:color w:val="auto"/>
        </w:rPr>
      </w:pPr>
    </w:p>
    <w:p>
      <w:pPr>
        <w:ind w:left="760" w:hanging="378"/>
        <w:spacing w:after="0" w:line="294" w:lineRule="auto"/>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our covenants for the benefit of the holders of all or any series of debt securities or surrender any right or power we have with respect to all or any series of debt securities under the indenture;</w:t>
      </w:r>
    </w:p>
    <w:p>
      <w:pPr>
        <w:spacing w:after="0" w:line="122" w:lineRule="exact"/>
        <w:rPr>
          <w:rFonts w:ascii="Times New Roman" w:cs="Times New Roman" w:eastAsia="Times New Roman" w:hAnsi="Times New Roman"/>
          <w:sz w:val="14"/>
          <w:szCs w:val="14"/>
          <w:color w:val="auto"/>
        </w:rPr>
      </w:pPr>
    </w:p>
    <w:p>
      <w:pPr>
        <w:ind w:left="760" w:hanging="378"/>
        <w:spacing w:after="0" w:line="294" w:lineRule="auto"/>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 the indenture or the terms of the debt securities of a series to any terms set forth in any prospectus or other offering document or memorandum relating to the offer and sale of such debt securities;</w:t>
      </w:r>
    </w:p>
    <w:p>
      <w:pPr>
        <w:spacing w:after="0" w:line="122"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or maintain the qualification of the indenture under the Trust Indenture Act;</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issuance of additional debt securities in accordance with the limitations set forth in the indenture;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and provide for the acceptance of appointment under the indenture by a successor trustee; and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certain other limited purposes described in the indenture.</w:t>
      </w:r>
    </w:p>
    <w:p>
      <w:pPr>
        <w:spacing w:after="0" w:line="184" w:lineRule="exact"/>
        <w:rPr>
          <w:sz w:val="20"/>
          <w:szCs w:val="20"/>
          <w:color w:val="auto"/>
        </w:rPr>
      </w:pPr>
    </w:p>
    <w:p>
      <w:pPr>
        <w:jc w:val="both"/>
        <w:ind w:right="360"/>
        <w:spacing w:after="0" w:line="275" w:lineRule="auto"/>
        <w:rPr>
          <w:sz w:val="20"/>
          <w:szCs w:val="20"/>
          <w:color w:val="auto"/>
        </w:rPr>
      </w:pPr>
      <w:r>
        <w:rPr>
          <w:rFonts w:ascii="Times New Roman" w:cs="Times New Roman" w:eastAsia="Times New Roman" w:hAnsi="Times New Roman"/>
          <w:sz w:val="14"/>
          <w:szCs w:val="14"/>
          <w:color w:val="auto"/>
        </w:rPr>
        <w:t>We and the trustee may modify or amend the indenture with the written consent of the holders of a majority of the aggregate principal amount of the outstanding debt securities of each series affected; provided, however, that no such modification or amendment may make certain changes without the consent of each holder of each outstanding debt security affected by the change, including to:</w:t>
      </w:r>
    </w:p>
    <w:p>
      <w:pPr>
        <w:spacing w:after="0" w:line="136"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the fixed maturity;</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modify the calculation of or extend the time of payment of interest;</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premium payable upon redemption;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9" w:right="319" w:bottom="1440" w:gutter="0" w:footer="0" w:header="0"/>
        </w:sectPr>
      </w:pPr>
    </w:p>
    <w:bookmarkStart w:id="15" w:name="page16"/>
    <w:bookmarkEnd w:id="15"/>
    <w:p>
      <w:pPr>
        <w:ind w:left="760" w:hanging="378"/>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outstanding debt securities of any series, the holders of which are required to consent to any amendment.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Defeasance and Discharge</w:t>
      </w:r>
    </w:p>
    <w:p>
      <w:pPr>
        <w:spacing w:after="0" w:line="188"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4"/>
          <w:szCs w:val="14"/>
          <w:color w:val="auto"/>
        </w:rPr>
        <w:t>We may discharge all obligations in respect of all outstanding debt securities of any series (except for certain obligations, including to register the transfer or exchange of notes, to replace stolen, destroyed, lost or mutilated notes, to maintain paying agencies, to return moneys deposited with or paid to the trustee or any paying agent remaining unclaimed for two years and to compensate and indemnify the trustee). This discharge, referred to as defeasance, will occur only if, among other things:</w:t>
      </w:r>
    </w:p>
    <w:p>
      <w:pPr>
        <w:spacing w:after="0" w:line="136" w:lineRule="exact"/>
        <w:rPr>
          <w:sz w:val="20"/>
          <w:szCs w:val="20"/>
          <w:color w:val="auto"/>
        </w:rPr>
      </w:pPr>
    </w:p>
    <w:p>
      <w:pPr>
        <w:ind w:left="760" w:right="40" w:hanging="378"/>
        <w:spacing w:after="0" w:line="275" w:lineRule="auto"/>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irrevocably deposit with the trustee, in trust, money and/or government obligations, which will provide, in the opinion of a nationally recognized firm of independent public accountants, enough money to pay each installment of principal of, and any premium and interest on, the outstanding debt securities on the applicable due dates for those payments in accordance with the terms of the indenture and such debt securities; and</w:t>
      </w:r>
    </w:p>
    <w:p>
      <w:pPr>
        <w:spacing w:after="0" w:line="135" w:lineRule="exact"/>
        <w:rPr>
          <w:rFonts w:ascii="Times New Roman" w:cs="Times New Roman" w:eastAsia="Times New Roman" w:hAnsi="Times New Roman"/>
          <w:sz w:val="14"/>
          <w:szCs w:val="14"/>
          <w:color w:val="auto"/>
        </w:rPr>
      </w:pPr>
    </w:p>
    <w:p>
      <w:pPr>
        <w:ind w:left="760" w:hanging="378"/>
        <w:spacing w:after="0" w:line="266" w:lineRule="auto"/>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an opinion of independent counsel, reasonably acceptable to the Trustee, confirming that: (i) we have received from, or there has been published by, the United States Internal Revenue Service a ruling or (ii) since the date of execution of the indenture, there has been a change in the applicable United States federal income tax law, in either case to the effect that, and based thereon, the holders of such outstanding debt securities will not recognize income, gain or loss for United States federal income tax purposes as a result of such defeasance and will be subject to United States federal income tax on the same amounts and in the same manner and at the same times as would have been the case if the defeasance had not occurred.</w:t>
      </w:r>
    </w:p>
    <w:p>
      <w:pPr>
        <w:spacing w:after="0" w:line="14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In addition, we may also obtain a discharge of the indenture with respect to all outstanding debt securities of a series (except for certain obligations enumerated in the indenture) when, among other things, all outstanding debt securities of a series have been delivered to the trustee for cancellation, and by depositing with the trustee, in trust, enough money and/or government obligations to pay all amounts due on such securities on the date those payments are due or upon redemption of all of those debt securities, so long as those debt securities have become due and payable, by their terms will become due and payable within one year or are to be called for redemption within one year.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Defeasance of Certain Covenants and Certain Events of Default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compliance with certain conditions:</w:t>
      </w:r>
    </w:p>
    <w:p>
      <w:pPr>
        <w:spacing w:after="0" w:line="184" w:lineRule="exact"/>
        <w:rPr>
          <w:sz w:val="20"/>
          <w:szCs w:val="20"/>
          <w:color w:val="auto"/>
        </w:rPr>
      </w:pPr>
    </w:p>
    <w:p>
      <w:pPr>
        <w:ind w:left="760" w:right="80" w:hanging="378"/>
        <w:spacing w:after="0" w:line="275" w:lineRule="auto"/>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released from compliance with covenants related to the preservation of the existence of significant subsidiaries, maintenance of properties, payment of taxes and other claims, limitation on liens on stock of significant subsidiaries, and, to the extent specified pursuant to Section 301 of the indenture, any other covenant applicable to such outstanding debt securities of a series; and</w:t>
      </w:r>
    </w:p>
    <w:p>
      <w:pPr>
        <w:spacing w:after="0" w:line="13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an event of default with respect to such securities (“covenant defeasance”).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conditions include, among other things:</w:t>
      </w:r>
    </w:p>
    <w:p>
      <w:pPr>
        <w:spacing w:after="0" w:line="184" w:lineRule="exact"/>
        <w:rPr>
          <w:sz w:val="20"/>
          <w:szCs w:val="20"/>
          <w:color w:val="auto"/>
        </w:rPr>
      </w:pPr>
    </w:p>
    <w:p>
      <w:pPr>
        <w:ind w:left="760" w:right="40" w:hanging="378"/>
        <w:spacing w:after="0" w:line="275"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irrevocably depositing with the trustee, in trust, money and/or government obligations, which, through the payment of interest and principal in accordance with their terms, will provide, in the opinion of a nationally recognized firm of independent public accountants, enough money to pay each installment of principal of, and any premium and interest on, the outstanding debt securities on the applicable due dates for those payments in accordance with the terms of the indenture and such debt securities; and</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1159" w:right="339" w:bottom="1440" w:gutter="0" w:footer="0" w:header="0"/>
        </w:sectPr>
      </w:pPr>
    </w:p>
    <w:bookmarkStart w:id="16" w:name="page17"/>
    <w:bookmarkEnd w:id="16"/>
    <w:p>
      <w:pPr>
        <w:ind w:left="760" w:right="100" w:hanging="378"/>
        <w:spacing w:after="0" w:line="275" w:lineRule="auto"/>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independent counsel reasonably satisfactory to the trustee to the effect that the holders of such outstanding debt securities will not recognize income, gain or loss for United States federal income tax purposes as a result of the covenant defeasance and will be subject to United States federal income tax on the same amounts and in the same manner and at the same times as would have been the case if the covenant defeasance had not occurred.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Covenant Defeasance and Certain Other Events of Default</w:t>
      </w:r>
    </w:p>
    <w:p>
      <w:pPr>
        <w:spacing w:after="0" w:line="18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If we exercise the option to effect a covenant defeasance with respect to all outstanding securities of a series as described above and such securities thereafter become due and payable because of an event of default (other than an event of default caused by failing to comply with the covenants that are defeased), whether as a result of a declaration of acceleration by the trustee or the holders of at least 25% in aggregate principal amount of the outstanding securities of that series or, in the case of certain bankruptcy or insolvency events of default, automatically without any declaration or other act on the part of the trustee or any holder, the amount of money and/or government obligations we have deposited with the trustee would be sufficient to pay amounts due on such securities on their respective due dates but may not be sufficient to pay amounts due on such securities at the time of acceleration resulting from that event of default. However, we would remain liable for any shortfall.</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specified in any prospectus supplement, the indenture and the debt securities shall be governed by, and construed in accordance with, the laws of the State of New York.</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9" w:right="31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following descriptions of our capital stock and provisions of our Amended and Restated Articles of Incorporation, as amended (our “Articles of Incorporation”), and our By-Laws, as amended and restated (our “By-Laws”), are summaries of their material terms and provisions and are not complete and are subject to, and qualified in their entirety by reference to, each of the items identified below. For a complete description of our capital stock, Articles of Incorporation and By-Laws, please refer to our Articles of Incorporation, By-Laws and the applicable provisions of the Florida Business Corporations Act (the “FBCA”).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our Articles of Incorporation, the number of shares of capital stock that we have authority to issue is 560,000,000 shares of our common stock, par value $0.10 per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i w:val="1"/>
          <w:iCs w:val="1"/>
          <w:color w:val="auto"/>
        </w:rPr>
        <w:t>Voting</w:t>
      </w:r>
      <w:r>
        <w:rPr>
          <w:rFonts w:ascii="Times New Roman" w:cs="Times New Roman" w:eastAsia="Times New Roman" w:hAnsi="Times New Roman"/>
          <w:sz w:val="14"/>
          <w:szCs w:val="14"/>
          <w:color w:val="auto"/>
        </w:rPr>
        <w:t>. Each holder of our common stock is entitled to one vote for each share held. Shareholders do not have the right to cumulate their votes in elections of directors. Accordingly, directors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elected by a majority of the votes of the shares present in person or represented by proxy at the meeting and actually cast with respect to the director in uncontested elections. If our Board of Directors (the “Board”) determines that an election is contested, then directors are elected by a plurality of the votes of the shares present in person or represented by proxy at the meeting and entitled to vote on the election of directors. Action on a matter other than the election of directors is approved if the votes cast favoring the action exceed the votes cast opposing the action (excluding abstentions and broker non-votes), unless the Articles of Incorporation, By-Laws or applicable law requires a greater number of affirmative votes.</w:t>
      </w:r>
    </w:p>
    <w:p>
      <w:pPr>
        <w:spacing w:after="0" w:line="14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Holders of our common stock will be entitled to dividends on a pro rata basis upon declaration of dividends by our Board. Dividends will be payable only out of unreserved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unrestricted surplus that is legally available for the payment of dividends. Dividends that may be declared on our common stock will be paid in an equal amount to the holder of each share of our common stock. Any determination to declare or pay dividends in the future will be at the discretion of our Board and will depend on our results of operations, financial condition, contractual or legal restrictions and other factors deemed relevant by our Board.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“BRO.”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Redemption, Conversion or Preemptive Rights</w:t>
      </w:r>
    </w:p>
    <w:p>
      <w:pPr>
        <w:spacing w:after="0" w:line="186"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4"/>
          <w:szCs w:val="14"/>
          <w:color w:val="auto"/>
        </w:rPr>
        <w:t>No preemptive rights are conferred upon the holders of our common stock and there are no liquidation or conversion rights. There are no redemption or sinking fund provisions and there is no liability to further calls or to assessments by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Fully Paid and Nonassessable</w:t>
      </w:r>
    </w:p>
    <w:p>
      <w:pPr>
        <w:spacing w:after="0" w:line="186"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4"/>
          <w:szCs w:val="14"/>
          <w:color w:val="auto"/>
        </w:rPr>
        <w:t>When we issue shares of our common stock, the shares will be fully paid and nonassessable, which means that the full purchase price of the shares will have been paid and holders of the shares will not be assessed any additional monies for the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Restrictions on Transfer</w:t>
      </w:r>
    </w:p>
    <w:p>
      <w:pPr>
        <w:spacing w:after="0" w:line="186"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4"/>
          <w:szCs w:val="14"/>
          <w:color w:val="auto"/>
        </w:rPr>
        <w:t>Neither our Articles of Incorporation nor our By-Laws contain any restrictions on the transfer of our common stock. In the case of any transfer of our common stock, there may be restrictions imposed by applicable securities laws.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11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Certain Anti-Takeover Provisions of Our Articles of Incorporation, By-Laws and the FBCA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FBCA</w:t>
      </w:r>
    </w:p>
    <w:p>
      <w:pPr>
        <w:spacing w:after="0" w:line="18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4"/>
          <w:szCs w:val="14"/>
          <w:color w:val="auto"/>
        </w:rPr>
        <w:t>We are subject to certain anti-takeover provisions that apply to public corporations under Florida law. Pursuant to Section 607.0901 of the FBCA, a publicly-held Florida corporation may not engage in a broad range of business combinations or other extraordinary corporate transactions with an “interested shareholder” without the approval of the board of directors of such corporation and the authorization of the holders of two-thirds of the outstanding voting shares of such corporation (excluding shares held by the interested shareholder) at an annual or special meeting of shareholders, unless:</w:t>
      </w:r>
    </w:p>
    <w:p>
      <w:pPr>
        <w:spacing w:after="0" w:line="140" w:lineRule="exact"/>
        <w:rPr>
          <w:sz w:val="20"/>
          <w:szCs w:val="20"/>
          <w:color w:val="auto"/>
        </w:rPr>
      </w:pPr>
    </w:p>
    <w:p>
      <w:pPr>
        <w:ind w:left="660" w:hanging="36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is approved by a majority of disinterested directors;</w:t>
      </w:r>
    </w:p>
    <w:p>
      <w:pPr>
        <w:spacing w:after="0" w:line="183" w:lineRule="exact"/>
        <w:rPr>
          <w:rFonts w:ascii="Times New Roman" w:cs="Times New Roman" w:eastAsia="Times New Roman" w:hAnsi="Times New Roman"/>
          <w:sz w:val="14"/>
          <w:szCs w:val="14"/>
          <w:color w:val="auto"/>
        </w:rPr>
      </w:pPr>
    </w:p>
    <w:p>
      <w:pPr>
        <w:ind w:left="660" w:right="180" w:hanging="368"/>
        <w:spacing w:after="0" w:line="294"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interested shareholder has beneficially owned (together with affiliates and associates) at least 80% of the corporation’s outstanding voting shares for at least three years preceding the announcement date of any such business combination;</w:t>
      </w:r>
    </w:p>
    <w:p>
      <w:pPr>
        <w:spacing w:after="0" w:line="122" w:lineRule="exact"/>
        <w:rPr>
          <w:rFonts w:ascii="Times New Roman" w:cs="Times New Roman" w:eastAsia="Times New Roman" w:hAnsi="Times New Roman"/>
          <w:sz w:val="14"/>
          <w:szCs w:val="14"/>
          <w:color w:val="auto"/>
        </w:rPr>
      </w:pPr>
    </w:p>
    <w:p>
      <w:pPr>
        <w:ind w:left="660" w:right="520" w:hanging="368"/>
        <w:spacing w:after="0" w:line="294" w:lineRule="auto"/>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interested shareholder is the beneficial owner (together with affiliates and associates) of at least 90% of the outstanding voting shares of the corporation, exclusive of shares acquired directly from the corporation in a transaction not approved by a majority of the disinterested directors; or</w:t>
      </w:r>
    </w:p>
    <w:p>
      <w:pPr>
        <w:spacing w:after="0" w:line="122" w:lineRule="exact"/>
        <w:rPr>
          <w:rFonts w:ascii="Times New Roman" w:cs="Times New Roman" w:eastAsia="Times New Roman" w:hAnsi="Times New Roman"/>
          <w:sz w:val="14"/>
          <w:szCs w:val="14"/>
          <w:color w:val="auto"/>
        </w:rPr>
      </w:pPr>
    </w:p>
    <w:p>
      <w:pPr>
        <w:ind w:left="660" w:hanging="36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consideration paid to the holders of the corporation’s voting stock is at least equal to certain fair price criteria.</w:t>
      </w:r>
    </w:p>
    <w:p>
      <w:pPr>
        <w:spacing w:after="0" w:line="184" w:lineRule="exact"/>
        <w:rPr>
          <w:sz w:val="20"/>
          <w:szCs w:val="20"/>
          <w:color w:val="auto"/>
        </w:rPr>
      </w:pPr>
    </w:p>
    <w:p>
      <w:pPr>
        <w:ind w:right="760"/>
        <w:spacing w:after="0" w:line="294" w:lineRule="auto"/>
        <w:rPr>
          <w:sz w:val="20"/>
          <w:szCs w:val="20"/>
          <w:color w:val="auto"/>
        </w:rPr>
      </w:pPr>
      <w:r>
        <w:rPr>
          <w:rFonts w:ascii="Times New Roman" w:cs="Times New Roman" w:eastAsia="Times New Roman" w:hAnsi="Times New Roman"/>
          <w:sz w:val="14"/>
          <w:szCs w:val="14"/>
          <w:color w:val="auto"/>
        </w:rPr>
        <w:t>An “interested shareholder” is defined as a person who beneficially owns more than 15% of a corporation’s outstanding voting shares. We have not made an election in our Articles of Incorporation to opt out of Section 607.0901.</w:t>
      </w:r>
    </w:p>
    <w:p>
      <w:pPr>
        <w:spacing w:after="0" w:line="1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In addition, we are subject to Section 607.0902 of the FBCA which prohibits the voting of shares in a publicly-held Florida corporation that are acquired in a “control share acquisition” unless: (1) our Board approved such acquisition prior to its consummation; or (2) after such acquisition, in lieu of prior approval by our Board, the holders of a majority of all the votes entitled to be cast, exclusive of shares owned by officers of the corporation, employee directors or the acquiring party, approve the granting of voting rights as to the shares acquired in the control share acquisition. A “control share acquisition” is defined as an acquisition that immediately thereafter, directly or indirectly, entitles the acquiring party to exercise or direct the exercise of the voting power of the corporation in an election of directors within any of the following ranges:</w:t>
      </w:r>
    </w:p>
    <w:p>
      <w:pPr>
        <w:spacing w:after="0" w:line="142" w:lineRule="exact"/>
        <w:rPr>
          <w:sz w:val="20"/>
          <w:szCs w:val="20"/>
          <w:color w:val="auto"/>
        </w:rPr>
      </w:pPr>
    </w:p>
    <w:p>
      <w:pPr>
        <w:ind w:left="660" w:hanging="36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one-fifth or more, but less than one-third, of all voting power;</w:t>
      </w:r>
    </w:p>
    <w:p>
      <w:pPr>
        <w:spacing w:after="0" w:line="183" w:lineRule="exact"/>
        <w:rPr>
          <w:rFonts w:ascii="Times New Roman" w:cs="Times New Roman" w:eastAsia="Times New Roman" w:hAnsi="Times New Roman"/>
          <w:sz w:val="14"/>
          <w:szCs w:val="14"/>
          <w:color w:val="auto"/>
        </w:rPr>
      </w:pPr>
    </w:p>
    <w:p>
      <w:pPr>
        <w:ind w:left="660" w:hanging="36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of all voting power; or</w:t>
      </w:r>
    </w:p>
    <w:p>
      <w:pPr>
        <w:spacing w:after="0" w:line="183" w:lineRule="exact"/>
        <w:rPr>
          <w:rFonts w:ascii="Times New Roman" w:cs="Times New Roman" w:eastAsia="Times New Roman" w:hAnsi="Times New Roman"/>
          <w:sz w:val="14"/>
          <w:szCs w:val="14"/>
          <w:color w:val="auto"/>
        </w:rPr>
      </w:pPr>
    </w:p>
    <w:p>
      <w:pPr>
        <w:ind w:left="660" w:hanging="36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 of all voting power.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statutory provisions may prevent takeover attempts that might result in a premium over the market price for shares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Articles of Incorporation and By-Laws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Number of Directors; Removal; Filling of Vacancies</w:t>
      </w:r>
    </w:p>
    <w:p>
      <w:pPr>
        <w:spacing w:after="0" w:line="186"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4"/>
          <w:szCs w:val="14"/>
          <w:color w:val="auto"/>
        </w:rPr>
        <w:t>Our Articles of Incorporation and By-Laws provide that our Board shall consist of not less than three directors, which number may be set, increased or diminished from time to time by resolution of the Board.</w:t>
      </w:r>
    </w:p>
    <w:p>
      <w:pPr>
        <w:spacing w:after="0" w:line="123"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4"/>
          <w:szCs w:val="14"/>
          <w:color w:val="auto"/>
        </w:rPr>
        <w:t>Our shareholders may remove any director from office, with or without cause, at any special meeting called for that purpose by vote of a majority of our shares entitled to vote and, subject to certain requirements set forth in our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By-Laws, elect his or her successor. When the office of a director becomes vacant for any reason, unless the Articles of Incorporation provide otherwise: (i) our shareholders may fill the vacancy,</w:t>
      </w:r>
    </w:p>
    <w:p>
      <w:pPr>
        <w:spacing w:after="0" w:line="25" w:lineRule="exact"/>
        <w:rPr>
          <w:sz w:val="20"/>
          <w:szCs w:val="20"/>
          <w:color w:val="auto"/>
        </w:rPr>
      </w:pPr>
    </w:p>
    <w:p>
      <w:pPr>
        <w:ind w:right="220" w:firstLine="6"/>
        <w:spacing w:after="0" w:line="273" w:lineRule="auto"/>
        <w:tabs>
          <w:tab w:leader="none" w:pos="21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may fill the vacancy, or (iii) if the remaining directors are less than a quorum, the vacancy may be filled by the affirmative vote of a majority of all the directors then remaining in office.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Action</w:t>
      </w:r>
    </w:p>
    <w:p>
      <w:pPr>
        <w:spacing w:after="0" w:line="18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Our By-Laws provide that shareholder action may be taken at an annual or special meeting of shareholders. Special meetings of shareholders may be called only by our President or our Board, whenever he, she or they deem it proper and shall be called by our Secretary if shareholders of record as of the record date fixed in accordance with Section 1.2(d) of our By-Laws, who hold the aggregate voting power as required by the FBCA, sign, date and deliver to our Secretary one or more written demands for the meeting describing the purpose or purposes for which it is to be held in accordance with our By-Laws, subject to certain additional requirements set forth in our By-Laws.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Advance Notice for Shareholder Proposals or Nominations at Meetings</w:t>
      </w:r>
    </w:p>
    <w:p>
      <w:pPr>
        <w:spacing w:after="0" w:line="186"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4"/>
          <w:szCs w:val="14"/>
          <w:color w:val="auto"/>
        </w:rPr>
        <w:t>Our By-Laws establish an advance notice procedure for shareholder proposals to be brought before any meeting of shareholders and for nominations by shareholders of candidates for election as directors at meetings at which directors are to be elected. Subject to any other applicable requirements, including Rule 14a-8 under the Exchange Act, only such business may be conducted at an annual meeting of shareholders as has been properly brought before the meeting. To be properly brought before an annual meeting, any nominations or other business must:</w:t>
      </w:r>
    </w:p>
    <w:p>
      <w:pPr>
        <w:spacing w:after="0" w:line="136" w:lineRule="exact"/>
        <w:rPr>
          <w:sz w:val="20"/>
          <w:szCs w:val="20"/>
          <w:color w:val="auto"/>
        </w:rPr>
      </w:pPr>
    </w:p>
    <w:p>
      <w:pPr>
        <w:ind w:left="660" w:hanging="36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specified in the notice of meeting (or in any supplement) given by, or at the direction of, our Board;</w:t>
      </w:r>
    </w:p>
    <w:p>
      <w:pPr>
        <w:spacing w:after="0" w:line="183" w:lineRule="exact"/>
        <w:rPr>
          <w:rFonts w:ascii="Times New Roman" w:cs="Times New Roman" w:eastAsia="Times New Roman" w:hAnsi="Times New Roman"/>
          <w:sz w:val="14"/>
          <w:szCs w:val="14"/>
          <w:color w:val="auto"/>
        </w:rPr>
      </w:pPr>
    </w:p>
    <w:p>
      <w:pPr>
        <w:ind w:left="660" w:hanging="368"/>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not specified in the notice of meeting, be otherwise properly brought before the meeting by, or at the direction of, the chairman of the meeting or our Board; or</w:t>
      </w:r>
    </w:p>
    <w:p>
      <w:pPr>
        <w:spacing w:after="0" w:line="183" w:lineRule="exact"/>
        <w:rPr>
          <w:rFonts w:ascii="Times New Roman" w:cs="Times New Roman" w:eastAsia="Times New Roman" w:hAnsi="Times New Roman"/>
          <w:sz w:val="14"/>
          <w:szCs w:val="14"/>
          <w:color w:val="auto"/>
        </w:rPr>
      </w:pPr>
    </w:p>
    <w:p>
      <w:pPr>
        <w:ind w:left="660" w:hanging="368"/>
        <w:spacing w:after="0" w:line="266" w:lineRule="auto"/>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not specified in the notice of meeting, be otherwise properly brought before the annual meeting by any shareholder present in person who was a shareholder of record at the time such notice of meeting is delivered and is at the time of the meeting, is entitled to vote at the meeting and is compliant with the notice procedures set forth in Section 1.8 of our By-Laws, and, in the case of nominations, is compliant with the requirements of Rule 14a-19 under the Exchange Act, properly made such proposal in accordance with Rule 14a-8 under the Exchange Act or in the case of a shareholder nominations to be included in our proxy statement for an annual meeting of shareholders, is an eligible shareholder who satisfies the notice, ownership and other requirements of Section 1.9 of our By-Laws.</w:t>
      </w:r>
    </w:p>
    <w:p>
      <w:pPr>
        <w:spacing w:after="0" w:line="142"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4"/>
          <w:szCs w:val="14"/>
          <w:color w:val="auto"/>
        </w:rPr>
        <w:t>In addition, for business to be properly brought before an annual meeting by a shareholder, such business must be a proper matter for shareholder action pursuant to our By-Laws and under applicable law.</w:t>
      </w:r>
    </w:p>
    <w:p>
      <w:pPr>
        <w:spacing w:after="0" w:line="12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With respect to a special meeting of the shareholders, only such business may be conducted at the meeting as has been specified in the notice of such special meeting or pursuant to Section 1.2 of our By-Laws. Nominations of persons for election to the Board may be made at a special meeting of shareholders at which directors are to be elected pursuant to the notice of meeting: (i) by or at the direction of the Board or shareholders pursuant to Section 1.2 of our By-Laws or (ii) provided that the Board (or shareholders pursuant to Section 1.2 of our By-Laws) has determined that directors shall be elected at such meeting, by any shareholder who is a shareholder of record at the time the notice provided for in the By-Laws is delivered to us, who is entitled to vote at the meeting and upon such election and who complies with the notice procedures set forth in Section 1.2 and Section 1.8 of our By-Laws and the requirements of Rule 14a-19 under the Exchange Act. At a meeting of shareholders, the chairman of the meeting shall, if the facts warrant, determine that the business was not properly brought before the meeting in accordance with the foregoing procedures, and if he or she should so determine, declare so at the meeting and any such business not properly brought before the meeting shall not be transacted.</w:t>
      </w:r>
    </w:p>
    <w:p>
      <w:pPr>
        <w:spacing w:after="0" w:line="14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To be timely, a written notice of the intent of a shareholder to make a nomination of a person for election as a director or to bring any other business before an annual meeting must be delivered to, or mailed or received by, our Secretary at our principal executive offices not earlier than the close of business on the 120th day and not later than</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1159" w:right="339" w:bottom="1440" w:gutter="0" w:footer="0" w:header="0"/>
        </w:sectPr>
      </w:pPr>
    </w:p>
    <w:bookmarkStart w:id="20" w:name="page21"/>
    <w:bookmarkEnd w:id="20"/>
    <w:p>
      <w:pPr>
        <w:ind w:right="20"/>
        <w:spacing w:after="0" w:line="275" w:lineRule="auto"/>
        <w:rPr>
          <w:sz w:val="20"/>
          <w:szCs w:val="20"/>
          <w:color w:val="auto"/>
        </w:rPr>
      </w:pPr>
      <w:r>
        <w:rPr>
          <w:rFonts w:ascii="Times New Roman" w:cs="Times New Roman" w:eastAsia="Times New Roman" w:hAnsi="Times New Roman"/>
          <w:sz w:val="14"/>
          <w:szCs w:val="14"/>
          <w:color w:val="auto"/>
        </w:rPr>
        <w:t>the close of business on the 90th day prior to the first anniversary of the date of the preceding year’s annual meeting of shareholders; provided, however, that if the date of the annual meeting is advanced more than 30 days prior to or delayed by more than 60 days after such anniversary date, such advance notice must be received by our Secretary no later than the close of business on the 90th day prior to such annual meeting or, if later, the tenth day following the day on which public announcement of the date of such annual meeting is first made by us.</w:t>
      </w:r>
    </w:p>
    <w:p>
      <w:pPr>
        <w:spacing w:after="0" w:line="13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If we call a special meeting of shareholders for the purpose of electing directors, notice of nominations must be received by our Secretary at our principal executive offices not later than the close of business on the 90th day prior to the date of such special meeting, or if later, the tenth day following the date on which public announcement is first made of the date of the special meeting and of the nominees proposed by the Board to be elected at such meeting.</w:t>
      </w:r>
    </w:p>
    <w:p>
      <w:pPr>
        <w:spacing w:after="0" w:line="136"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4"/>
          <w:szCs w:val="14"/>
          <w:color w:val="auto"/>
        </w:rPr>
        <w:t>To be in proper written form, every such notice by a shareholder must set forth as to each matter such shareholder proposes to bring before an annual or special meeting of the shareholders, the following:</w:t>
      </w:r>
    </w:p>
    <w:p>
      <w:pPr>
        <w:spacing w:after="0" w:line="123" w:lineRule="exact"/>
        <w:rPr>
          <w:sz w:val="20"/>
          <w:szCs w:val="20"/>
          <w:color w:val="auto"/>
        </w:rPr>
      </w:pPr>
    </w:p>
    <w:p>
      <w:pPr>
        <w:ind w:left="660" w:hanging="36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each person whom the shareholder proposes to nominate for election or reelection as a director (each, a “proposed nominee”):</w:t>
      </w:r>
    </w:p>
    <w:p>
      <w:pPr>
        <w:spacing w:after="0" w:line="183" w:lineRule="exact"/>
        <w:rPr>
          <w:rFonts w:ascii="Times New Roman" w:cs="Times New Roman" w:eastAsia="Times New Roman" w:hAnsi="Times New Roman"/>
          <w:sz w:val="14"/>
          <w:szCs w:val="14"/>
          <w:color w:val="auto"/>
        </w:rPr>
      </w:pPr>
    </w:p>
    <w:p>
      <w:pPr>
        <w:ind w:left="920" w:hanging="162"/>
        <w:spacing w:after="0"/>
        <w:tabs>
          <w:tab w:leader="none" w:pos="92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date of birth, business address and residence address of the proposed nominee;</w:t>
      </w:r>
    </w:p>
    <w:p>
      <w:pPr>
        <w:spacing w:after="0" w:line="183" w:lineRule="exact"/>
        <w:rPr>
          <w:rFonts w:ascii="Times New Roman" w:cs="Times New Roman" w:eastAsia="Times New Roman" w:hAnsi="Times New Roman"/>
          <w:sz w:val="14"/>
          <w:szCs w:val="14"/>
          <w:color w:val="auto"/>
        </w:rPr>
      </w:pPr>
    </w:p>
    <w:p>
      <w:pPr>
        <w:ind w:left="960" w:hanging="202"/>
        <w:spacing w:after="0"/>
        <w:tabs>
          <w:tab w:leader="none" w:pos="96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occupation or employment of the proposed nominee;</w:t>
      </w:r>
    </w:p>
    <w:p>
      <w:pPr>
        <w:spacing w:after="0" w:line="183" w:lineRule="exact"/>
        <w:rPr>
          <w:rFonts w:ascii="Times New Roman" w:cs="Times New Roman" w:eastAsia="Times New Roman" w:hAnsi="Times New Roman"/>
          <w:sz w:val="14"/>
          <w:szCs w:val="14"/>
          <w:color w:val="auto"/>
        </w:rPr>
      </w:pPr>
    </w:p>
    <w:p>
      <w:pPr>
        <w:ind w:left="1000" w:hanging="242"/>
        <w:spacing w:after="0"/>
        <w:tabs>
          <w:tab w:leader="none" w:pos="100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or series and number of shares of our capital stock, if any, that are owned beneficially and of record by the proposed nominee;</w:t>
      </w:r>
    </w:p>
    <w:p>
      <w:pPr>
        <w:spacing w:after="0" w:line="183" w:lineRule="exact"/>
        <w:rPr>
          <w:rFonts w:ascii="Times New Roman" w:cs="Times New Roman" w:eastAsia="Times New Roman" w:hAnsi="Times New Roman"/>
          <w:sz w:val="14"/>
          <w:szCs w:val="14"/>
          <w:color w:val="auto"/>
        </w:rPr>
      </w:pPr>
    </w:p>
    <w:p>
      <w:pPr>
        <w:ind w:left="760" w:hanging="2"/>
        <w:spacing w:after="0" w:line="275" w:lineRule="auto"/>
        <w:tabs>
          <w:tab w:leader="none" w:pos="1003"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regarding each proposed nominee proposed by such shareholder as would be required to be included in a proxy statement or other filings required to be made in connection with the solicitation of proxies for election of directors pursuant to and in accordance with Section 14(a) of the Exchange Act and any other applicable provisions of the Exchange Act;</w:t>
      </w:r>
    </w:p>
    <w:p>
      <w:pPr>
        <w:spacing w:after="0" w:line="135" w:lineRule="exact"/>
        <w:rPr>
          <w:rFonts w:ascii="Times New Roman" w:cs="Times New Roman" w:eastAsia="Times New Roman" w:hAnsi="Times New Roman"/>
          <w:sz w:val="14"/>
          <w:szCs w:val="14"/>
          <w:color w:val="auto"/>
        </w:rPr>
      </w:pPr>
    </w:p>
    <w:p>
      <w:pPr>
        <w:jc w:val="both"/>
        <w:ind w:left="760" w:hanging="2"/>
        <w:spacing w:after="0" w:line="266" w:lineRule="auto"/>
        <w:tabs>
          <w:tab w:leader="none" w:pos="963"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all direct and indirect compensation and other material monetary agreements, arrangements and understandings during the past three years, and any other material relationships, between or among such shareholder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all information that would be required to be disclosed pursuant to Item 404 of Regulation S-K if such proposing person were the “registrant” for purposes of such rule and the proposed nominee were a director or executive officer of such registrant; and</w:t>
      </w:r>
    </w:p>
    <w:p>
      <w:pPr>
        <w:spacing w:after="0" w:line="141" w:lineRule="exact"/>
        <w:rPr>
          <w:rFonts w:ascii="Times New Roman" w:cs="Times New Roman" w:eastAsia="Times New Roman" w:hAnsi="Times New Roman"/>
          <w:sz w:val="14"/>
          <w:szCs w:val="14"/>
          <w:color w:val="auto"/>
        </w:rPr>
      </w:pPr>
    </w:p>
    <w:p>
      <w:pPr>
        <w:ind w:left="760" w:hanging="2"/>
        <w:spacing w:after="0" w:line="294" w:lineRule="auto"/>
        <w:tabs>
          <w:tab w:leader="none" w:pos="1003"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written consent of each proposed nominee to being named in a proxy statement relating to our next meeting of shareholders at which directors are to be elected and to serving as a director if so elected.</w:t>
      </w:r>
    </w:p>
    <w:p>
      <w:pPr>
        <w:spacing w:after="0" w:line="122" w:lineRule="exact"/>
        <w:rPr>
          <w:rFonts w:ascii="Times New Roman" w:cs="Times New Roman" w:eastAsia="Times New Roman" w:hAnsi="Times New Roman"/>
          <w:sz w:val="14"/>
          <w:szCs w:val="14"/>
          <w:color w:val="auto"/>
        </w:rPr>
      </w:pPr>
    </w:p>
    <w:p>
      <w:pPr>
        <w:ind w:left="660" w:hanging="368"/>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each item of business that the shareholder proposes to bring before a meeting:</w:t>
      </w:r>
    </w:p>
    <w:p>
      <w:pPr>
        <w:spacing w:after="0" w:line="183" w:lineRule="exact"/>
        <w:rPr>
          <w:rFonts w:ascii="Times New Roman" w:cs="Times New Roman" w:eastAsia="Times New Roman" w:hAnsi="Times New Roman"/>
          <w:sz w:val="14"/>
          <w:szCs w:val="14"/>
          <w:color w:val="auto"/>
        </w:rPr>
      </w:pPr>
    </w:p>
    <w:p>
      <w:pPr>
        <w:ind w:left="660" w:right="180" w:firstLine="5"/>
        <w:spacing w:after="0" w:line="294" w:lineRule="auto"/>
        <w:tabs>
          <w:tab w:leader="none" w:pos="831"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matter and the text of the proposal or business (including the text of any resolutions proposed for consideration and, in the event that such business includes a proposal to amend our Articles of Incorporation or By-Laws, the text of the proposed amendment);</w:t>
      </w:r>
    </w:p>
    <w:p>
      <w:pPr>
        <w:spacing w:after="0" w:line="122" w:lineRule="exact"/>
        <w:rPr>
          <w:rFonts w:ascii="Times New Roman" w:cs="Times New Roman" w:eastAsia="Times New Roman" w:hAnsi="Times New Roman"/>
          <w:sz w:val="14"/>
          <w:szCs w:val="14"/>
          <w:color w:val="auto"/>
        </w:rPr>
      </w:pPr>
    </w:p>
    <w:p>
      <w:pPr>
        <w:ind w:left="880" w:hanging="215"/>
        <w:spacing w:after="0"/>
        <w:tabs>
          <w:tab w:leader="none" w:pos="8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reasons for conducting such business at the meeting and any material interest in such business of each proposing person;</w:t>
      </w:r>
    </w:p>
    <w:p>
      <w:pPr>
        <w:spacing w:after="0" w:line="183" w:lineRule="exact"/>
        <w:rPr>
          <w:rFonts w:ascii="Times New Roman" w:cs="Times New Roman" w:eastAsia="Times New Roman" w:hAnsi="Times New Roman"/>
          <w:sz w:val="14"/>
          <w:szCs w:val="14"/>
          <w:color w:val="auto"/>
        </w:rPr>
      </w:pPr>
    </w:p>
    <w:p>
      <w:pPr>
        <w:ind w:left="660" w:right="80" w:firstLine="5"/>
        <w:spacing w:after="0" w:line="294" w:lineRule="auto"/>
        <w:tabs>
          <w:tab w:leader="none" w:pos="911"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reasonably detailed description of all agreements, arrangements and understandings (x) between or among any of the proposing persons or (y) between or among any proposing person and any other person (including their names) in connection with the proposal of such business by such shareholder; and</w:t>
      </w: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00"/>
          </w:cols>
          <w:pgMar w:left="300" w:top="1159" w:right="399" w:bottom="1440" w:gutter="0" w:footer="0" w:header="0"/>
        </w:sectPr>
      </w:pPr>
    </w:p>
    <w:bookmarkStart w:id="21" w:name="page22"/>
    <w:bookmarkEnd w:id="21"/>
    <w:p>
      <w:pPr>
        <w:ind w:left="660" w:right="100" w:firstLine="5"/>
        <w:spacing w:after="0" w:line="275" w:lineRule="auto"/>
        <w:tabs>
          <w:tab w:leader="none" w:pos="903"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relating to such shareholder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any other applicable provisions of the Exchange Act.</w:t>
      </w:r>
    </w:p>
    <w:p>
      <w:pPr>
        <w:spacing w:after="0" w:line="135" w:lineRule="exact"/>
        <w:rPr>
          <w:rFonts w:ascii="Times New Roman" w:cs="Times New Roman" w:eastAsia="Times New Roman" w:hAnsi="Times New Roman"/>
          <w:sz w:val="14"/>
          <w:szCs w:val="14"/>
          <w:color w:val="auto"/>
        </w:rPr>
      </w:pPr>
    </w:p>
    <w:p>
      <w:pPr>
        <w:ind w:left="660" w:hanging="368"/>
        <w:spacing w:after="0" w:line="294" w:lineRule="auto"/>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the shareholder giving the notice, the beneficial owner, if any, on whose behalf the nomination or proposal of other business is made, and any participant (as defined in paragraphs (a)(ii)-(vi) of Instruction 3 to Item 4 of Schedule 14A) with such shareholder in such solicitation (each a “proposing person”):</w:t>
      </w:r>
    </w:p>
    <w:p>
      <w:pPr>
        <w:spacing w:after="0" w:line="122" w:lineRule="exact"/>
        <w:rPr>
          <w:rFonts w:ascii="Times New Roman" w:cs="Times New Roman" w:eastAsia="Times New Roman" w:hAnsi="Times New Roman"/>
          <w:sz w:val="14"/>
          <w:szCs w:val="14"/>
          <w:color w:val="auto"/>
        </w:rPr>
      </w:pPr>
    </w:p>
    <w:p>
      <w:pPr>
        <w:ind w:left="840" w:hanging="175"/>
        <w:spacing w:after="0"/>
        <w:tabs>
          <w:tab w:leader="none" w:pos="84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such shareholder, as they appear on our stock transfer books, and the name and address of such beneficial owner and participant;</w:t>
      </w:r>
    </w:p>
    <w:p>
      <w:pPr>
        <w:spacing w:after="0" w:line="183" w:lineRule="exact"/>
        <w:rPr>
          <w:rFonts w:ascii="Times New Roman" w:cs="Times New Roman" w:eastAsia="Times New Roman" w:hAnsi="Times New Roman"/>
          <w:sz w:val="14"/>
          <w:szCs w:val="14"/>
          <w:color w:val="auto"/>
        </w:rPr>
      </w:pPr>
    </w:p>
    <w:p>
      <w:pPr>
        <w:jc w:val="both"/>
        <w:ind w:left="660" w:right="80" w:firstLine="5"/>
        <w:spacing w:after="0" w:line="275" w:lineRule="auto"/>
        <w:tabs>
          <w:tab w:leader="none" w:pos="871"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or series and number of shares of our capital stock that are owned beneficially and, directly or indirectly, of record by such shareholder and such beneficial owner, except that such proposing person shall in all events be deemed to beneficially own any of our shares of any class or series as to which such proposing person has a right to acquire beneficial ownership at any time in the future;</w:t>
      </w:r>
    </w:p>
    <w:p>
      <w:pPr>
        <w:spacing w:after="0" w:line="135" w:lineRule="exact"/>
        <w:rPr>
          <w:rFonts w:ascii="Times New Roman" w:cs="Times New Roman" w:eastAsia="Times New Roman" w:hAnsi="Times New Roman"/>
          <w:sz w:val="14"/>
          <w:szCs w:val="14"/>
          <w:color w:val="auto"/>
        </w:rPr>
      </w:pPr>
    </w:p>
    <w:p>
      <w:pPr>
        <w:ind w:left="920" w:hanging="255"/>
        <w:spacing w:after="0"/>
        <w:tabs>
          <w:tab w:leader="none" w:pos="9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upon which such shareholder acquired ownership of such shares;</w:t>
      </w:r>
    </w:p>
    <w:p>
      <w:pPr>
        <w:spacing w:after="0" w:line="183" w:lineRule="exact"/>
        <w:rPr>
          <w:rFonts w:ascii="Times New Roman" w:cs="Times New Roman" w:eastAsia="Times New Roman" w:hAnsi="Times New Roman"/>
          <w:sz w:val="14"/>
          <w:szCs w:val="14"/>
          <w:color w:val="auto"/>
        </w:rPr>
      </w:pPr>
    </w:p>
    <w:p>
      <w:pPr>
        <w:ind w:left="900" w:hanging="235"/>
        <w:spacing w:after="0"/>
        <w:tabs>
          <w:tab w:leader="none" w:pos="90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documentary evidence for any claim of beneficial ownership;</w:t>
      </w:r>
    </w:p>
    <w:p>
      <w:pPr>
        <w:spacing w:after="0" w:line="183" w:lineRule="exact"/>
        <w:rPr>
          <w:rFonts w:ascii="Times New Roman" w:cs="Times New Roman" w:eastAsia="Times New Roman" w:hAnsi="Times New Roman"/>
          <w:sz w:val="14"/>
          <w:szCs w:val="14"/>
          <w:color w:val="auto"/>
        </w:rPr>
      </w:pPr>
    </w:p>
    <w:p>
      <w:pPr>
        <w:ind w:left="660" w:right="180" w:firstLine="5"/>
        <w:spacing w:after="0" w:line="294" w:lineRule="auto"/>
        <w:tabs>
          <w:tab w:leader="none" w:pos="863"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that the shareholder is a holder of record of our capital stock, entitled to vote at such meeting, and intends to appear in person or by proxy at the meeting to bring such business before the meeting;</w:t>
      </w:r>
    </w:p>
    <w:p>
      <w:pPr>
        <w:spacing w:after="0" w:line="122" w:lineRule="exact"/>
        <w:rPr>
          <w:rFonts w:ascii="Times New Roman" w:cs="Times New Roman" w:eastAsia="Times New Roman" w:hAnsi="Times New Roman"/>
          <w:sz w:val="14"/>
          <w:szCs w:val="14"/>
          <w:color w:val="auto"/>
        </w:rPr>
      </w:pPr>
    </w:p>
    <w:p>
      <w:pPr>
        <w:ind w:left="660" w:right="240" w:firstLine="5"/>
        <w:spacing w:after="0" w:line="294" w:lineRule="auto"/>
        <w:tabs>
          <w:tab w:leader="none" w:pos="903"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agreement, arrangement or understanding with respect to such nomination between or among the shareholder and any of its affiliates or associates, and any others (including their names) acting in concert with any of the foregoing;</w:t>
      </w:r>
    </w:p>
    <w:p>
      <w:pPr>
        <w:spacing w:after="0" w:line="122" w:lineRule="exact"/>
        <w:rPr>
          <w:rFonts w:ascii="Times New Roman" w:cs="Times New Roman" w:eastAsia="Times New Roman" w:hAnsi="Times New Roman"/>
          <w:sz w:val="14"/>
          <w:szCs w:val="14"/>
          <w:color w:val="auto"/>
        </w:rPr>
      </w:pPr>
    </w:p>
    <w:p>
      <w:pPr>
        <w:ind w:left="660" w:right="120" w:firstLine="5"/>
        <w:spacing w:after="0" w:line="269" w:lineRule="auto"/>
        <w:tabs>
          <w:tab w:leader="none" w:pos="943"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any agreement, arrangement or understanding (including any derivative or short positions, profit interests, options, hedging transactions, and borrowed or loaned shares) that has been entered into as of the date of the shareholder’s notice by, or on behalf of, the shareholder or any of its affiliates or associates, the effect or intent of which is to mitigate loss to, manage risk or benefit of share price changes for, or increase or decrease the voting power of the shareholder or any of its affiliates or associates with respect to our shares of stock;</w:t>
      </w:r>
    </w:p>
    <w:p>
      <w:pPr>
        <w:spacing w:after="0" w:line="139" w:lineRule="exact"/>
        <w:rPr>
          <w:rFonts w:ascii="Times New Roman" w:cs="Times New Roman" w:eastAsia="Times New Roman" w:hAnsi="Times New Roman"/>
          <w:sz w:val="14"/>
          <w:szCs w:val="14"/>
          <w:color w:val="auto"/>
        </w:rPr>
      </w:pPr>
    </w:p>
    <w:p>
      <w:pPr>
        <w:ind w:left="660" w:right="20" w:firstLine="5"/>
        <w:spacing w:after="0" w:line="294" w:lineRule="auto"/>
        <w:tabs>
          <w:tab w:leader="none" w:pos="983"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proposal other than a nomination, a representation as to whether the shareholder intends to deliver a proxy statement and/or form of proxy to holders of at least the percentage of our outstanding capital stock required to approve the proposal and/or otherwise to solicit proxies from shareholders in support of the proposal;</w:t>
      </w:r>
    </w:p>
    <w:p>
      <w:pPr>
        <w:spacing w:after="0" w:line="122" w:lineRule="exact"/>
        <w:rPr>
          <w:rFonts w:ascii="Times New Roman" w:cs="Times New Roman" w:eastAsia="Times New Roman" w:hAnsi="Times New Roman"/>
          <w:sz w:val="14"/>
          <w:szCs w:val="14"/>
          <w:color w:val="auto"/>
        </w:rPr>
      </w:pPr>
    </w:p>
    <w:p>
      <w:pPr>
        <w:ind w:left="660" w:right="160" w:firstLine="5"/>
        <w:spacing w:after="0" w:line="294" w:lineRule="auto"/>
        <w:tabs>
          <w:tab w:leader="none" w:pos="903"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nomination, a representation that such shareholder intends to deliver a proxy statement and/or form of proxy to holders of at least 67% of the voting power of our outstanding capital stock entitled to vote in the election of directors; and</w:t>
      </w:r>
    </w:p>
    <w:p>
      <w:pPr>
        <w:spacing w:after="0" w:line="122" w:lineRule="exact"/>
        <w:rPr>
          <w:rFonts w:ascii="Times New Roman" w:cs="Times New Roman" w:eastAsia="Times New Roman" w:hAnsi="Times New Roman"/>
          <w:sz w:val="14"/>
          <w:szCs w:val="14"/>
          <w:color w:val="auto"/>
        </w:rPr>
      </w:pPr>
    </w:p>
    <w:p>
      <w:pPr>
        <w:ind w:left="860" w:hanging="195"/>
        <w:spacing w:after="0"/>
        <w:tabs>
          <w:tab w:leader="none" w:pos="8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nomination, all other information required under Rule 14a-19 under the Exchange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Exclusive Forum Provision of our By-Laws</w:t>
      </w:r>
    </w:p>
    <w:p>
      <w:pPr>
        <w:spacing w:after="0" w:line="18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sole and exclusive forum for certain actions shall be the Seventh Judicial Circuit Court in and for Volusia County, Florida (or, if no state court located within the State of Florida has jurisdiction, the federal district court for the Middle District of Florida). Those actions include: (i) any derivative action or proceeding brought on behalf of us, (ii) any proceeding asserting a claim of breach of fiduciary duty owed by any of our directors or our officers or other employees to us or our shareholders, (iii) any proceeding arising pursuant to any provision of the FBCA or the</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40"/>
          </w:cols>
          <w:pgMar w:left="300" w:top="1159" w:right="359" w:bottom="1440" w:gutter="0" w:footer="0" w:header="0"/>
        </w:sectPr>
      </w:pPr>
    </w:p>
    <w:bookmarkStart w:id="22" w:name="page23"/>
    <w:bookmarkEnd w:id="22"/>
    <w:p>
      <w:pPr>
        <w:spacing w:after="0" w:line="275" w:lineRule="auto"/>
        <w:rPr>
          <w:sz w:val="20"/>
          <w:szCs w:val="20"/>
          <w:color w:val="auto"/>
        </w:rPr>
      </w:pPr>
      <w:r>
        <w:rPr>
          <w:rFonts w:ascii="Times New Roman" w:cs="Times New Roman" w:eastAsia="Times New Roman" w:hAnsi="Times New Roman"/>
          <w:sz w:val="14"/>
          <w:szCs w:val="14"/>
          <w:color w:val="auto"/>
        </w:rPr>
        <w:t>Articles of Incorporation or By-Laws (as either may be amended from time to time) or (iv) any proceeding asserting a claim against us or any of our directors, officers or other employees governed by the internal affairs doctrine. Subject to the preceding provisions, the federal district courts of the United States of America shall be the exclusive forum for the resolution of any complaint asserting a cause or causes of action arising under the Securities Act, including all causes of action asserted against any defendant to such complaint.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Amendments to By-Laws</w:t>
      </w:r>
    </w:p>
    <w:p>
      <w:pPr>
        <w:spacing w:after="0" w:line="186"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4"/>
          <w:szCs w:val="14"/>
          <w:color w:val="auto"/>
        </w:rPr>
        <w:t>Our By-Laws may be amended or repealed and additional By-Laws added or adopted by the Board unless, except as provided in the FBCA, the shareholders, in amending, repealing, or adopting the By-Laws generally or a particular By-Law provision, expressly provide that the Board may not amend, repeal, adopt, or reinstate the By-Laws generally or that particular By-Law provision. Our By-Laws may be amended or repealed at any meeting of shareholders by a vote of the majority of our issued and outstanding shares of our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Amendment of the Articles of Incorporation</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Our Articles of Incorporation and our By-Laws provide that the Articles of Incorporation may be amended in the manner provided by law. Our Board may adopt one or more amendments to the Articles of Incorporation without shareholder action to the extent expressly permitted by the FBCA. With respect to any amendment to the Articles of Incorporation requiring shareholder approval under the FBCA, every amendment shall be approved by our Board, proposed by them to our shareholders, and approved at a shareholders meeting by a majority of the shares entitled to vote thereon, unless all directors and all shareholders sign a written statement manifesting their intention that a certain amendment of our Articles of Incorporation be made.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9" w:right="319" w:bottom="1440" w:gutter="0" w:footer="0" w:header="0"/>
        </w:sectPr>
      </w:pPr>
    </w:p>
    <w:bookmarkStart w:id="23" w:name="page24"/>
    <w:bookmarkEnd w:id="23"/>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May 7, 2026, Brown &amp; Brown has no warrants outstanding. We may issue warrants for the purchase of debt securities or common stock.</w:t>
      </w:r>
    </w:p>
    <w:p>
      <w:pPr>
        <w:spacing w:after="0" w:line="18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Warrants may be issued independently or together with any other securities offered by any prospectus supplement and may be attached to or separate from such securities. Each series of warrants will be issued under a separate warrant agreement to be entered into between Brown &amp; Brown and a warrant agent specified in the applicable prospectus supplement. The warrant agent will act solely as an agent of Brown &amp; Brown in connection with the warrants of such series and will not assume any obligation or relationship of agency or trust for or with any holders of the warrants. Further terms of the warrants and the applicable warrant agreements will be set forth in the applicable prospectus supplement. If we issue warrants, at that time copies of the form of warrant agreement and warrant will be filed as exhibits to or incorporated by reference in the registration statement of which this prospectus forms a part, and the following summary is qualified in its entirety by reference to such exhibits.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applicable prospectus supplement will describe the terms of the warrants, including, where applicable, the following:</w:t>
      </w:r>
    </w:p>
    <w:p>
      <w:pPr>
        <w:spacing w:after="0" w:line="184"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warrants will be issued;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terms and number of securities purchasable upon exercise of warrants;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securities, if any, with which warrants are issued and the number of warrants issued with each security;</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warrants and the related securities will be separately transferable;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each security purchasable upon exercise of warrants may be purchased;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changes to or adjustments in the exercise price;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shall commence and the date on which that right shall expire;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and/or maximum amount of warrants which may be exercised at any one time;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warrants or rights outstanding at the time of issuance;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 and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warrants, including terms, procedures and limitations relating to the exchange and exercise of the warrants.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80"/>
          </w:cols>
          <w:pgMar w:left="300" w:top="1157" w:right="41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following summary of certain provisions of the units is not complete and is subject to, and qualified in its entirety by reference to, the provisions of the unit agreement that will be filed with the SEC in connection with the offering of such units. You should refer to the provisions of the applicable unit agreement and applicable prospectus supplement for more specific information about the units we offer. If any particular terms of the units described in the applicable prospectus supplement differ from any of the terms described herein, then the terms described herein will be deemed superseded by that prospectus supplement.</w:t>
      </w:r>
    </w:p>
    <w:p>
      <w:pPr>
        <w:spacing w:after="0" w:line="140"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4"/>
          <w:szCs w:val="14"/>
          <w:color w:val="auto"/>
        </w:rPr>
        <w:t>We may, from time to time, issue units comprised of two or more of the other securities that we may offer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applicable prospectus supplement will describe, among other things:</w:t>
      </w:r>
    </w:p>
    <w:p>
      <w:pPr>
        <w:spacing w:after="0" w:line="184"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terms of the units and of the securities comprising the units, including whether and under what circumstances those securities may be held or transferred separately;</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provisions relating to the issuance, payment, settlement, transfer or exchange of the units or of the securities comprising the units;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appropriate, any special United States federal income tax considerations applicable to the units;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provisions of the governing unit agreement that differ from those described above; and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offered thereunder.</w:t>
      </w:r>
    </w:p>
    <w:p>
      <w:pPr>
        <w:spacing w:after="0" w:line="184"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4"/>
          <w:szCs w:val="14"/>
          <w:color w:val="auto"/>
        </w:rPr>
        <w:t>The terms and conditions described under “Description of Debt Securities,” “Description of Capital Stock” and “Description of Warrants” will apply to any debt securities, common stock and warrants, as applicable, included in each unit, unless otherwise specified in the applicable prospectus supplement.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40"/>
          </w:cols>
          <w:pgMar w:left="300" w:top="1157"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8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This prospectus may be used by one or more selling securityholders to be identified in a prospectus supplement in connection with the resale, from time to time, of securities described in this prospectus. The number of securities to be sold by any selling securityholder shall be specified from time to time in a prospectus supplement. The applicable prospectus supplement will also set forth information with respect to the selling securityholders, including the amount of securities owned by each selling securityholder prior to and after the offering, and the amount to be offered for sale.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1157" w:right="339" w:bottom="1440" w:gutter="0" w:footer="0" w:header="0"/>
        </w:sectPr>
      </w:pPr>
    </w:p>
    <w:bookmarkStart w:id="26" w:name="page27"/>
    <w:bookmarkEnd w:id="26"/>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and/or one or more selling securityholders may sell the securities from time to time in any one or more of the following ways:</w:t>
      </w:r>
    </w:p>
    <w:p>
      <w:pPr>
        <w:spacing w:after="0" w:line="184"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by us or one or more selling securityholders to one or more purchasers or other persons or entities;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these methods of sale; or</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other means.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offered hereby may also be issued upon exercise of other securities offered hereby.</w:t>
      </w:r>
    </w:p>
    <w:p>
      <w:pPr>
        <w:spacing w:after="0" w:line="18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registration statement of which this prospectus forms a part covers secondary offerings by selling securityholders, in addition to primary offerings by the Company. Each time we or any selling securityholder sell securities, we will provide a prospectus supplement that will name any underwriter, dealer or agent involved in the offer and sale of the securities and the amounts of the securities underwritten or purchased by each of them. The applicable prospectus supplement will set forth the terms of the offering of the securities, including:</w:t>
      </w:r>
    </w:p>
    <w:p>
      <w:pPr>
        <w:spacing w:after="0" w:line="136"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and terms of the securities;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method of distribution, including the name or names of any underwriters, dealers or agents;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such securities;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any selling securityholder;</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proceeds to us or any selling securityholder from the sale of securities;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or agency fees and other items constituting underwriters’ or agents’ compensation;</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options under which underwriters may purchase additional securities;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184"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4"/>
          <w:szCs w:val="14"/>
          <w:color w:val="auto"/>
        </w:rPr>
        <w:t>If we and/or the selling securityholders use underwriters in the sale, the securities will be acquired by the underwriters for their own account and may be resold from time to time in one or more transactions, including:</w:t>
      </w:r>
    </w:p>
    <w:p>
      <w:pPr>
        <w:spacing w:after="0" w:line="123"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transactions;</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public offering price or prices, which may be changed;</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8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prevailing market prices; or</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20"/>
          </w:cols>
          <w:pgMar w:left="300" w:top="1157" w:right="379" w:bottom="1440" w:gutter="0" w:footer="0" w:header="0"/>
        </w:sectPr>
      </w:pPr>
    </w:p>
    <w:bookmarkStart w:id="27" w:name="page28"/>
    <w:bookmarkEnd w:id="27"/>
    <w:p>
      <w:pPr>
        <w:ind w:left="760" w:hanging="378"/>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8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4"/>
          <w:szCs w:val="14"/>
          <w:color w:val="auto"/>
        </w:rPr>
        <w:t>The securities may be offered to the public either through underwriting syndicates represented by managing underwriters or directly by one or more underwriters acting alone. Unless otherwise stated in a prospectus supplement, the obligations of the underwriters to purchase any securities will be conditioned on customary closing conditions and the underwriters will be obligated to purchase all securities of a series, if any are purchased. Any public offering price and any discounts or concessions allowed or reallowed or paid to dealers may be changed from time to time.</w:t>
      </w:r>
    </w:p>
    <w:p>
      <w:pPr>
        <w:spacing w:after="0" w:line="136"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4"/>
          <w:szCs w:val="14"/>
          <w:color w:val="auto"/>
        </w:rPr>
        <w:t>We or any selling securityholder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3"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4"/>
          <w:szCs w:val="14"/>
          <w:color w:val="auto"/>
        </w:rPr>
        <w:t>Some of the underwriters, dealers or agents used by us or any selling securityholder in any offering of securities under this prospectus may be customers of, engage in transactions with, and perform services for us or any selling securityholder or our or their respective subsidiaries or affiliates in the ordinary course of business.</w:t>
      </w:r>
    </w:p>
    <w:p>
      <w:pPr>
        <w:spacing w:after="0" w:line="123"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4"/>
          <w:szCs w:val="14"/>
          <w:color w:val="auto"/>
        </w:rPr>
        <w:t>Underwriters and agents may be entitled under agreements entered into with the Company and/or any selling securityholder to indemnification by the Company and/or any selling securityholder against certain civil liabilities, including liabilities under the Securities Act of 1933, as amended, or to contribution with respect to payments which the underwriters or agents may be required to make. Underwriters and agents may be customers of, engage in transactions with, or perform services for the Company and its affiliates in the ordinary course of business.</w:t>
      </w:r>
    </w:p>
    <w:p>
      <w:pPr>
        <w:spacing w:after="0" w:line="13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4"/>
          <w:szCs w:val="14"/>
          <w:color w:val="auto"/>
        </w:rPr>
        <w:t>Each series of securities will be a new issue of securities and will have no established trading market other than the common stock, which is listed on the New York Stock Exchange. Any underwriters to whom securities are sold for public offering and sale may make a market in the securities, but such underwriters will not be obligated to do so and may discontinue any market making at any time without notice. The securities, other than the common stock, may or may not be listed on a national securities exchange.</w:t>
      </w:r>
    </w:p>
    <w:p>
      <w:pPr>
        <w:spacing w:after="0" w:line="13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other purchasers, persons or entities and any applicable compensation in any related amendment to the registration statement of which this prospectus is a part, any related prospectus supplement, or any documents incorporated by reference or deemed incorporated by reference into this prospectus.</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80"/>
          </w:cols>
          <w:pgMar w:left="300" w:top="1159" w:right="41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6"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4"/>
          <w:szCs w:val="14"/>
          <w:color w:val="auto"/>
        </w:rPr>
        <w:t>Holland &amp; Knight LLP, Orlando, Florida will pass upon the validity of any securities offered under this prospectus and any prospectus supplement for Brown &amp; Brown. Certain legal matters with respect to the validity of the securities offered under this prospectus and any prospectus supplement will be passed upon for any underwriters, dealers or agents by counsel named in the applicable prospectus supplement.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6"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4"/>
          <w:szCs w:val="14"/>
          <w:color w:val="auto"/>
        </w:rPr>
        <w:t>The financial statements of Brown &amp; Brown, Inc., incorporated by reference in this registration statement, and the effectiveness of Brown &amp; Brown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6"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This prospectus, which forms part of the registration statement, does not contain all of the information contained in the registration statement or the exhibits to the registration statement. You should note that where we summarize in this prospectus the material terms of any contract, agreement or other document filed as an exhibit to the registration statement, the summary information provided in this prospectus is less complete than the actual contract, agreement or document. You should refer to the exhibits filed with the registration statement for copies of the actual contract, agreement or document.</w:t>
      </w:r>
    </w:p>
    <w:p>
      <w:pPr>
        <w:spacing w:after="0" w:line="14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For further information about our company and the securities offered in this prospectus, you should refer to the registration statement and its exhibits. The SEC maintains an Internet site that contains reports, proxy and information statements and other information regarding issuers that file electronically with the SEC. Our SEC filings are available to the public from the SEC’s website at https://www.sec.gov. We also make our SEC filings available free of charge on our website at https://www.BBrown.com.</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86" w:lineRule="exact"/>
        <w:rPr>
          <w:sz w:val="20"/>
          <w:szCs w:val="20"/>
          <w:color w:val="auto"/>
        </w:rPr>
      </w:pPr>
    </w:p>
    <w:p>
      <w:pPr>
        <w:ind w:right="700"/>
        <w:spacing w:after="0" w:line="294" w:lineRule="auto"/>
        <w:rPr>
          <w:sz w:val="20"/>
          <w:szCs w:val="20"/>
          <w:color w:val="auto"/>
        </w:rPr>
      </w:pPr>
      <w:r>
        <w:rPr>
          <w:rFonts w:ascii="Times New Roman" w:cs="Times New Roman" w:eastAsia="Times New Roman" w:hAnsi="Times New Roman"/>
          <w:sz w:val="14"/>
          <w:szCs w:val="14"/>
          <w:color w:val="auto"/>
        </w:rPr>
        <w:t>The information incorporated by reference is considered to be a part of this prospectus, and any later information that we file with the SEC will automatically update and supersede this information. The documents and other information incorporated by reference are:</w:t>
      </w:r>
    </w:p>
    <w:p>
      <w:pPr>
        <w:spacing w:after="0" w:line="123" w:lineRule="exact"/>
        <w:rPr>
          <w:sz w:val="20"/>
          <w:szCs w:val="20"/>
          <w:color w:val="auto"/>
        </w:rPr>
      </w:pPr>
    </w:p>
    <w:p>
      <w:pPr>
        <w:ind w:left="660" w:right="440" w:hanging="368"/>
        <w:spacing w:after="0" w:line="294" w:lineRule="auto"/>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Report on Form 10-K for the year ended December 31, 2025 (including information specifically incorporated by reference into our Form 10-K from our definitive proxy statement relating to our 2026 annual meeting of shareholders, filed on March 24, 2026);</w:t>
      </w:r>
    </w:p>
    <w:p>
      <w:pPr>
        <w:spacing w:after="0" w:line="122" w:lineRule="exact"/>
        <w:rPr>
          <w:rFonts w:ascii="Times New Roman" w:cs="Times New Roman" w:eastAsia="Times New Roman" w:hAnsi="Times New Roman"/>
          <w:sz w:val="14"/>
          <w:szCs w:val="14"/>
          <w:color w:val="auto"/>
        </w:rPr>
      </w:pPr>
    </w:p>
    <w:p>
      <w:pPr>
        <w:ind w:left="660" w:hanging="36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Report on Form 10-Q for the quarter ended March 31, 2026;</w:t>
      </w:r>
    </w:p>
    <w:p>
      <w:pPr>
        <w:spacing w:after="0" w:line="183" w:lineRule="exact"/>
        <w:rPr>
          <w:rFonts w:ascii="Times New Roman" w:cs="Times New Roman" w:eastAsia="Times New Roman" w:hAnsi="Times New Roman"/>
          <w:sz w:val="14"/>
          <w:szCs w:val="14"/>
          <w:color w:val="auto"/>
        </w:rPr>
      </w:pPr>
    </w:p>
    <w:p>
      <w:pPr>
        <w:ind w:left="660" w:hanging="368"/>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Reports on Form 8-K filed with the SEC on March 4, 2026 and May 7, 2026.</w:t>
      </w:r>
    </w:p>
    <w:p>
      <w:pPr>
        <w:spacing w:after="0" w:line="183" w:lineRule="exact"/>
        <w:rPr>
          <w:rFonts w:ascii="Times New Roman" w:cs="Times New Roman" w:eastAsia="Times New Roman" w:hAnsi="Times New Roman"/>
          <w:sz w:val="14"/>
          <w:szCs w:val="14"/>
          <w:color w:val="auto"/>
        </w:rPr>
      </w:pPr>
    </w:p>
    <w:p>
      <w:pPr>
        <w:ind w:left="660" w:right="60" w:hanging="368"/>
        <w:spacing w:after="0" w:line="294" w:lineRule="auto"/>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description of our common stock contained in our Registration Statement on Form 8-A filed with the SEC on November 17, 1997, including any amendment or report filed for the purpose of updating such description, which description is amended by the description contained in this prospectus; and</w:t>
      </w:r>
    </w:p>
    <w:p>
      <w:pPr>
        <w:spacing w:after="0" w:line="122" w:lineRule="exact"/>
        <w:rPr>
          <w:rFonts w:ascii="Times New Roman" w:cs="Times New Roman" w:eastAsia="Times New Roman" w:hAnsi="Times New Roman"/>
          <w:sz w:val="14"/>
          <w:szCs w:val="14"/>
          <w:color w:val="auto"/>
        </w:rPr>
      </w:pPr>
    </w:p>
    <w:p>
      <w:pPr>
        <w:ind w:left="660" w:hanging="368"/>
        <w:spacing w:after="0" w:line="269" w:lineRule="auto"/>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filed under Sections 13(a), 13(c), 14 or 15(d) of the Exchange Act after the date of this prospectus and before the termination of the offering of the securities described in this prospectus (other than any information furnished pursuant to Item 2.02 or Item 7.01 of any Current Report on Form 8-K, unless we specifically state in such Current Report that such information is to be considered “filed” under the Exchange Act, or we incorporate it by reference into a filing under the Securities Act of 1933, as amended (the “Securities Act”) or the Exchange Act).</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1157" w:right="339" w:bottom="1440" w:gutter="0" w:footer="0" w:header="0"/>
        </w:sectPr>
      </w:pPr>
    </w:p>
    <w:bookmarkStart w:id="29" w:name="page30"/>
    <w:bookmarkEnd w:id="29"/>
    <w:p>
      <w:pPr>
        <w:ind w:right="80"/>
        <w:spacing w:after="0" w:line="275" w:lineRule="auto"/>
        <w:rPr>
          <w:sz w:val="20"/>
          <w:szCs w:val="20"/>
          <w:color w:val="auto"/>
        </w:rPr>
      </w:pPr>
      <w:r>
        <w:rPr>
          <w:rFonts w:ascii="Times New Roman" w:cs="Times New Roman" w:eastAsia="Times New Roman" w:hAnsi="Times New Roman"/>
          <w:sz w:val="14"/>
          <w:szCs w:val="14"/>
          <w:color w:val="auto"/>
        </w:rPr>
        <w:t>Any statement contained in this prospectus or in a document incorporated or deemed to be incorporated by reference in this prospectus shall be deemed to be modified or superseded for purposes of this prospectus to the extent that a statement contained in this prospectus or in any other subsequently filed document which also is or is deemed to be incorporated by reference in this prospectus modifies or supersedes such statement. Any statement so modified or superseded shall not be deemed, except as so modified or superseded, to constitute a part of this prospectus.</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Notwithstanding the foregoing, we are not incorporating any document or information that we deemed within a Current Report on Form 8-K or Form 8-K/A to have been furnished and not filed in accordance with SEC rules. You can obtain any of the documents incorporated by reference in this prospectus from the SEC through the SEC’s website at the address described above. We will provide to each person, including any beneficial owner, to whom a prospectus is delivered, a copy of any or all of the information that has been incorporated by reference in the prospectus but not delivered with the prospectus, without charge, excluding any exhibits to those documents, unless such exhibits are specifically incorporated by reference into such documents or this prospectus. You can request those documents by calling (386) 252-9601 or by making a written request to our Corporate Secretary at:</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Brown &amp; Brown,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300 North Beach Street</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Daytona Beach, Florida 32114</w:t>
      </w:r>
    </w:p>
    <w:p>
      <w:pPr>
        <w:spacing w:after="0" w:line="168"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4"/>
          <w:szCs w:val="14"/>
          <w:color w:val="auto"/>
        </w:rPr>
        <w:t xml:space="preserve">Please note that information contained in our website </w:t>
      </w:r>
      <w:r>
        <w:rPr>
          <w:rFonts w:ascii="Times New Roman" w:cs="Times New Roman" w:eastAsia="Times New Roman" w:hAnsi="Times New Roman"/>
          <w:sz w:val="14"/>
          <w:szCs w:val="14"/>
          <w:i w:val="1"/>
          <w:iCs w:val="1"/>
          <w:color w:val="auto"/>
        </w:rPr>
        <w:t>(www.BBrown.com)</w:t>
      </w:r>
      <w:r>
        <w:rPr>
          <w:rFonts w:ascii="Times New Roman" w:cs="Times New Roman" w:eastAsia="Times New Roman" w:hAnsi="Times New Roman"/>
          <w:sz w:val="14"/>
          <w:szCs w:val="14"/>
          <w:color w:val="auto"/>
        </w:rPr>
        <w:t>, whether currently posted or posted in the future, is not a part of this prospectus or the documents incorporated by reference in this prospectus, and any references to our website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462280</wp:posOffset>
            </wp:positionV>
            <wp:extent cx="718566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40"/>
          </w:cols>
          <w:pgMar w:left="300" w:top="1159" w:right="359" w:bottom="144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7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4"/>
          <w:szCs w:val="14"/>
          <w:color w:val="auto"/>
        </w:rPr>
        <w:t>All expenses in connection with the issuance and distribution of the securities being registered will be paid by Brown &amp; Brown, Inc. (“Brown &amp; Brown”). The following is an itemized statement of these expenses:</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69"/>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9"/>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9"/>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Indenture Trustee’s Fees and Expenses</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9"/>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Printing, Engraving and Mailing Expenses</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9"/>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Rating Agency Fees</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9"/>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69"/>
        </w:trPr>
        <w:tc>
          <w:tcPr>
            <w:tcW w:w="7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87"/>
        </w:trPr>
        <w:tc>
          <w:tcPr>
            <w:tcW w:w="7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r>
      <w:tr>
        <w:trPr>
          <w:trHeight w:val="174"/>
        </w:trPr>
        <w:tc>
          <w:tcPr>
            <w:tcW w:w="7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bl>
    <w:p>
      <w:pPr>
        <w:spacing w:after="0" w:line="158" w:lineRule="exact"/>
        <w:rPr>
          <w:sz w:val="20"/>
          <w:szCs w:val="20"/>
          <w:color w:val="auto"/>
        </w:rPr>
      </w:pPr>
    </w:p>
    <w:p>
      <w:pPr>
        <w:ind w:left="760" w:right="380" w:hanging="749"/>
        <w:spacing w:after="0" w:line="294" w:lineRule="auto"/>
        <w:tabs>
          <w:tab w:leader="none" w:pos="58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Rules 456(b) and 457(r) under the Securities Act, the registration fee will be paid at the time of any particular offering of securities under this Registration Statement, and is therefore not currently determinable.</w:t>
      </w:r>
    </w:p>
    <w:p>
      <w:pPr>
        <w:spacing w:after="0" w:line="122" w:lineRule="exact"/>
        <w:rPr>
          <w:rFonts w:ascii="Times New Roman" w:cs="Times New Roman" w:eastAsia="Times New Roman" w:hAnsi="Times New Roman"/>
          <w:sz w:val="14"/>
          <w:szCs w:val="14"/>
          <w:color w:val="auto"/>
        </w:rPr>
      </w:pPr>
    </w:p>
    <w:p>
      <w:pPr>
        <w:ind w:left="760" w:right="220" w:hanging="749"/>
        <w:spacing w:after="0" w:line="275" w:lineRule="auto"/>
        <w:tabs>
          <w:tab w:leader="none" w:pos="58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an indeterminate amount of securities are covered by this Registration Statement and the number of offerings is indeterminable, the amount of these fees and expenses is not currently determinable. Estimates of the fees and expenses in connection with the sale and distribution of the securities being offered will be included in the applicable prospectus supplement.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8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Brown &amp; Brown is a Florida corporation. Reference is made to Sections 607.0850 - 607.0859 of the Florida Business Corporation Act, which permit, and in some cases require, indemnification of directors, officers, employees, and agents of Brown &amp; Brown, under certain circumstances and subject to certain limitations.</w:t>
      </w:r>
    </w:p>
    <w:p>
      <w:pPr>
        <w:spacing w:after="0" w:line="12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Under Article VII of Brown &amp; Brown’s By-Laws, Brown &amp; Brown is required to indemnify its officers and directors, including an officer or director of Brown &amp; Brown who is or was serving at Brown &amp; Brown’s request as a director or officer of another entity, against all damages, costs, amounts of liability and reasonable expenses incurred by or imposed upon such persons, provided that such person acted in good faith and in a manner such person reasonably believed to be in, or not opposed to, the best interests of Brown &amp; Brown and, in the case of any criminal proceeding, had no reasonable cause to believe such person’s conduct was unlawful.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Brown &amp; Brown has purchased insurance with respect to, among other things, liabilities that may arise under the statutory and By-Law provisions referred to above.</w:t>
      </w:r>
    </w:p>
    <w:p>
      <w:pPr>
        <w:spacing w:after="0" w:line="184"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4"/>
          <w:szCs w:val="14"/>
          <w:color w:val="auto"/>
        </w:rPr>
        <w:t>The general effect of the foregoing provisions may be to reduce the circumstances in which an officer or director may be required to bear the economic burden of the foregoing liabilities and expense.</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386715</wp:posOffset>
            </wp:positionV>
            <wp:extent cx="718566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40"/>
          </w:cols>
          <w:pgMar w:left="300" w:top="1157" w:right="359" w:bottom="1440" w:gutter="0" w:footer="0" w:header="0"/>
        </w:sectPr>
      </w:pPr>
    </w:p>
    <w:bookmarkStart w:id="31" w:name="page32"/>
    <w:bookmarkEnd w:id="31"/>
    <w:p>
      <w:pPr>
        <w:spacing w:after="0" w:line="190" w:lineRule="auto"/>
        <w:framePr w:w="1140" w:h="128" w:wrap="auto" w:vAnchor="page" w:hAnchor="page" w:x="260" w:y="1175"/>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Item 16. Exhibits</w:t>
      </w:r>
    </w:p>
    <w:p>
      <w:pPr>
        <w:spacing w:after="0" w:line="62" w:lineRule="exact"/>
        <w:rPr>
          <w:rFonts w:ascii="Times New Roman" w:cs="Times New Roman" w:eastAsia="Times New Roman" w:hAnsi="Times New Roman"/>
          <w:sz w:val="14"/>
          <w:szCs w:val="14"/>
          <w:b w:val="1"/>
          <w:bCs w:val="1"/>
          <w:color w:val="auto"/>
        </w:rPr>
      </w:pPr>
    </w:p>
    <w:tbl>
      <w:tblPr>
        <w:tblLayout w:type="fixed"/>
        <w:tblInd w:w="0" w:type="dxa"/>
        <w:tblCellMar>
          <w:top w:w="0" w:type="dxa"/>
          <w:left w:w="0" w:type="dxa"/>
          <w:bottom w:w="0" w:type="dxa"/>
          <w:right w:w="0" w:type="dxa"/>
        </w:tblCellMar>
      </w:tblP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 Exhibits:</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1"/>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5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520" w:type="dxa"/>
            <w:vAlign w:val="bottom"/>
            <w:tcBorders>
              <w:bottom w:val="single" w:sz="8" w:color="auto"/>
            </w:tcBorders>
            <w:gridSpan w:val="8"/>
          </w:tcPr>
          <w:p>
            <w:pPr>
              <w:ind w:left="1720"/>
              <w:spacing w:after="0"/>
              <w:rPr>
                <w:sz w:val="20"/>
                <w:szCs w:val="20"/>
                <w:color w:val="auto"/>
              </w:rPr>
            </w:pPr>
            <w:r>
              <w:rPr>
                <w:rFonts w:ascii="Times New Roman" w:cs="Times New Roman" w:eastAsia="Times New Roman" w:hAnsi="Times New Roman"/>
                <w:sz w:val="14"/>
                <w:szCs w:val="14"/>
                <w:color w:val="auto"/>
              </w:rPr>
              <w:t>Description</w:t>
            </w:r>
          </w:p>
        </w:tc>
      </w:tr>
      <w:tr>
        <w:trPr>
          <w:trHeight w:val="178"/>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560" w:type="dxa"/>
            <w:vAlign w:val="bottom"/>
          </w:tcPr>
          <w:p>
            <w:pPr>
              <w:spacing w:after="0"/>
              <w:rPr>
                <w:sz w:val="15"/>
                <w:szCs w:val="15"/>
                <w:color w:val="auto"/>
              </w:rPr>
            </w:pPr>
          </w:p>
        </w:tc>
        <w:tc>
          <w:tcPr>
            <w:tcW w:w="89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99"/>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560" w:type="dxa"/>
            <w:vAlign w:val="bottom"/>
          </w:tcPr>
          <w:p>
            <w:pPr>
              <w:spacing w:after="0"/>
              <w:rPr>
                <w:sz w:val="24"/>
                <w:szCs w:val="24"/>
                <w:color w:val="auto"/>
              </w:rPr>
            </w:pPr>
          </w:p>
        </w:tc>
        <w:tc>
          <w:tcPr>
            <w:tcW w:w="884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51">
              <w:r>
                <w:rPr>
                  <w:rFonts w:ascii="Times New Roman" w:cs="Times New Roman" w:eastAsia="Times New Roman" w:hAnsi="Times New Roman"/>
                  <w:sz w:val="14"/>
                  <w:szCs w:val="14"/>
                  <w:color w:val="0000FF"/>
                </w:rPr>
                <w:t>Amended and Restated Articles of Incorporation of the Company (adopted January 18, 2023) (incorporated by reference to Exhibit 3.1 to Form 8-K filed</w:t>
              </w:r>
            </w:hyperlink>
          </w:p>
        </w:tc>
        <w:tc>
          <w:tcPr>
            <w:tcW w:w="100" w:type="dxa"/>
            <w:vAlign w:val="bottom"/>
          </w:tcPr>
          <w:p>
            <w:pPr>
              <w:spacing w:after="0"/>
              <w:rPr>
                <w:sz w:val="24"/>
                <w:szCs w:val="24"/>
                <w:color w:val="auto"/>
              </w:rPr>
            </w:pPr>
          </w:p>
        </w:tc>
      </w:tr>
      <w:tr>
        <w:trPr>
          <w:trHeight w:val="152"/>
        </w:trPr>
        <w:tc>
          <w:tcPr>
            <w:tcW w:w="1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Borders>
              <w:bottom w:val="single" w:sz="8" w:color="0000FF"/>
            </w:tcBorders>
            <w:gridSpan w:val="2"/>
          </w:tcPr>
          <w:p>
            <w:pPr>
              <w:spacing w:after="0" w:line="153" w:lineRule="exact"/>
              <w:rPr>
                <w:rFonts w:ascii="Times New Roman" w:cs="Times New Roman" w:eastAsia="Times New Roman" w:hAnsi="Times New Roman"/>
                <w:sz w:val="14"/>
                <w:szCs w:val="14"/>
                <w:color w:val="0000FF"/>
              </w:rPr>
            </w:pPr>
            <w:hyperlink r:id="rId51">
              <w:r>
                <w:rPr>
                  <w:rFonts w:ascii="Times New Roman" w:cs="Times New Roman" w:eastAsia="Times New Roman" w:hAnsi="Times New Roman"/>
                  <w:sz w:val="14"/>
                  <w:szCs w:val="14"/>
                  <w:color w:val="0000FF"/>
                </w:rPr>
                <w:t>January 19, 2023).</w:t>
              </w:r>
            </w:hyperlink>
          </w:p>
        </w:tc>
        <w:tc>
          <w:tcPr>
            <w:tcW w:w="7860" w:type="dxa"/>
            <w:vAlign w:val="bottom"/>
            <w:gridSpan w:val="12"/>
          </w:tcPr>
          <w:p>
            <w:pPr>
              <w:spacing w:after="0"/>
              <w:rPr>
                <w:sz w:val="13"/>
                <w:szCs w:val="13"/>
                <w:color w:val="auto"/>
              </w:rPr>
            </w:pPr>
          </w:p>
        </w:tc>
      </w:tr>
      <w:tr>
        <w:trPr>
          <w:trHeight w:val="32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560" w:type="dxa"/>
            <w:vAlign w:val="bottom"/>
          </w:tcPr>
          <w:p>
            <w:pPr>
              <w:spacing w:after="0"/>
              <w:rPr>
                <w:sz w:val="24"/>
                <w:szCs w:val="24"/>
                <w:color w:val="auto"/>
              </w:rPr>
            </w:pPr>
          </w:p>
        </w:tc>
        <w:tc>
          <w:tcPr>
            <w:tcW w:w="8940" w:type="dxa"/>
            <w:vAlign w:val="bottom"/>
            <w:gridSpan w:val="14"/>
          </w:tcPr>
          <w:p>
            <w:pPr>
              <w:spacing w:after="0"/>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Amended and Restated By-laws (incorporated by reference to Exhibit 3.2 to Form 8-K filed on January 19, 2023).</w:t>
              </w:r>
            </w:hyperlink>
          </w:p>
        </w:tc>
      </w:tr>
      <w:tr>
        <w:trPr>
          <w:trHeight w:val="32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560" w:type="dxa"/>
            <w:vAlign w:val="bottom"/>
          </w:tcPr>
          <w:p>
            <w:pPr>
              <w:spacing w:after="0"/>
              <w:rPr>
                <w:sz w:val="24"/>
                <w:szCs w:val="24"/>
                <w:color w:val="auto"/>
              </w:rPr>
            </w:pPr>
          </w:p>
        </w:tc>
        <w:tc>
          <w:tcPr>
            <w:tcW w:w="65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Description of Securities.</w:t>
            </w:r>
          </w:p>
        </w:tc>
        <w:tc>
          <w:tcPr>
            <w:tcW w:w="2380" w:type="dxa"/>
            <w:vAlign w:val="bottom"/>
            <w:gridSpan w:val="3"/>
          </w:tcPr>
          <w:p>
            <w:pPr>
              <w:spacing w:after="0"/>
              <w:rPr>
                <w:sz w:val="24"/>
                <w:szCs w:val="24"/>
                <w:color w:val="auto"/>
              </w:rPr>
            </w:pPr>
          </w:p>
        </w:tc>
      </w:tr>
      <w:tr>
        <w:trPr>
          <w:trHeight w:val="20"/>
        </w:trPr>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2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560" w:type="dxa"/>
            <w:vAlign w:val="bottom"/>
          </w:tcPr>
          <w:p>
            <w:pPr>
              <w:spacing w:after="0"/>
              <w:rPr>
                <w:sz w:val="24"/>
                <w:szCs w:val="24"/>
                <w:color w:val="auto"/>
              </w:rPr>
            </w:pPr>
          </w:p>
        </w:tc>
        <w:tc>
          <w:tcPr>
            <w:tcW w:w="882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Form of Certificate for Shares of Brown &amp; Brown’s Common Stock (incorporated by reference to Exhibit 4.3 to the Registration Statement on Form S-3</w:t>
              </w:r>
            </w:hyperlink>
          </w:p>
        </w:tc>
        <w:tc>
          <w:tcPr>
            <w:tcW w:w="120" w:type="dxa"/>
            <w:vAlign w:val="bottom"/>
            <w:gridSpan w:val="2"/>
          </w:tcPr>
          <w:p>
            <w:pPr>
              <w:spacing w:after="0"/>
              <w:rPr>
                <w:sz w:val="24"/>
                <w:szCs w:val="24"/>
                <w:color w:val="auto"/>
              </w:rPr>
            </w:pPr>
          </w:p>
        </w:tc>
      </w:tr>
      <w:tr>
        <w:trPr>
          <w:trHeight w:val="152"/>
        </w:trPr>
        <w:tc>
          <w:tcPr>
            <w:tcW w:w="1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940" w:type="dxa"/>
            <w:vAlign w:val="bottom"/>
            <w:gridSpan w:val="14"/>
          </w:tcPr>
          <w:p>
            <w:pPr>
              <w:spacing w:after="0" w:line="153" w:lineRule="exact"/>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filed by the Registrant on March 4, 2009).</w:t>
              </w:r>
            </w:hyperlink>
          </w:p>
        </w:tc>
      </w:tr>
      <w:tr>
        <w:trPr>
          <w:trHeight w:val="20"/>
        </w:trPr>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r>
      <w:tr>
        <w:trPr>
          <w:trHeight w:val="32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560" w:type="dxa"/>
            <w:vAlign w:val="bottom"/>
          </w:tcPr>
          <w:p>
            <w:pPr>
              <w:spacing w:after="0"/>
              <w:rPr>
                <w:sz w:val="24"/>
                <w:szCs w:val="24"/>
                <w:color w:val="auto"/>
              </w:rPr>
            </w:pPr>
          </w:p>
        </w:tc>
        <w:tc>
          <w:tcPr>
            <w:tcW w:w="894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Indenture, dated as of September 18, 2014, between Brown &amp; Brown, Inc. and U.S. Bank Trust Company, National Association (as successor to U.S. Bank</w:t>
              </w:r>
            </w:hyperlink>
          </w:p>
        </w:tc>
      </w:tr>
      <w:tr>
        <w:trPr>
          <w:trHeight w:val="152"/>
        </w:trPr>
        <w:tc>
          <w:tcPr>
            <w:tcW w:w="1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940" w:type="dxa"/>
            <w:vAlign w:val="bottom"/>
            <w:gridSpan w:val="14"/>
          </w:tcPr>
          <w:p>
            <w:pPr>
              <w:spacing w:after="0" w:line="153" w:lineRule="exact"/>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National Association) (incorporated by reference to Exhibit 4.1 to Form 8-K filed on September 18, 2014).</w:t>
              </w:r>
            </w:hyperlink>
          </w:p>
        </w:tc>
      </w:tr>
      <w:tr>
        <w:trPr>
          <w:trHeight w:val="356"/>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560" w:type="dxa"/>
            <w:vAlign w:val="bottom"/>
          </w:tcPr>
          <w:p>
            <w:pPr>
              <w:spacing w:after="0"/>
              <w:rPr>
                <w:sz w:val="24"/>
                <w:szCs w:val="24"/>
                <w:color w:val="auto"/>
              </w:rPr>
            </w:pPr>
          </w:p>
        </w:tc>
        <w:tc>
          <w:tcPr>
            <w:tcW w:w="61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auto"/>
              </w:rPr>
              <w:t>Form of Debt Security.*</w:t>
            </w:r>
          </w:p>
        </w:tc>
        <w:tc>
          <w:tcPr>
            <w:tcW w:w="2800" w:type="dxa"/>
            <w:vAlign w:val="bottom"/>
            <w:gridSpan w:val="4"/>
          </w:tcPr>
          <w:p>
            <w:pPr>
              <w:spacing w:after="0"/>
              <w:rPr>
                <w:sz w:val="24"/>
                <w:szCs w:val="24"/>
                <w:color w:val="auto"/>
              </w:rPr>
            </w:pPr>
          </w:p>
        </w:tc>
      </w:tr>
      <w:tr>
        <w:trPr>
          <w:trHeight w:val="34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560" w:type="dxa"/>
            <w:vAlign w:val="bottom"/>
          </w:tcPr>
          <w:p>
            <w:pPr>
              <w:spacing w:after="0"/>
              <w:rPr>
                <w:sz w:val="24"/>
                <w:szCs w:val="24"/>
                <w:color w:val="auto"/>
              </w:rPr>
            </w:pPr>
          </w:p>
        </w:tc>
        <w:tc>
          <w:tcPr>
            <w:tcW w:w="89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Form of Warrant.*</w:t>
            </w:r>
          </w:p>
        </w:tc>
      </w:tr>
      <w:tr>
        <w:trPr>
          <w:trHeight w:val="34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560" w:type="dxa"/>
            <w:vAlign w:val="bottom"/>
          </w:tcPr>
          <w:p>
            <w:pPr>
              <w:spacing w:after="0"/>
              <w:rPr>
                <w:sz w:val="24"/>
                <w:szCs w:val="24"/>
                <w:color w:val="auto"/>
              </w:rPr>
            </w:pPr>
          </w:p>
        </w:tc>
        <w:tc>
          <w:tcPr>
            <w:tcW w:w="89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Form of Warrant Agreement.*</w:t>
            </w:r>
          </w:p>
        </w:tc>
      </w:tr>
      <w:tr>
        <w:trPr>
          <w:trHeight w:val="34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560" w:type="dxa"/>
            <w:vAlign w:val="bottom"/>
          </w:tcPr>
          <w:p>
            <w:pPr>
              <w:spacing w:after="0"/>
              <w:rPr>
                <w:sz w:val="24"/>
                <w:szCs w:val="24"/>
                <w:color w:val="auto"/>
              </w:rPr>
            </w:pPr>
          </w:p>
        </w:tc>
        <w:tc>
          <w:tcPr>
            <w:tcW w:w="89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Form of Unit Agreement.*</w:t>
            </w:r>
          </w:p>
        </w:tc>
      </w:tr>
      <w:tr>
        <w:trPr>
          <w:trHeight w:val="313"/>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560" w:type="dxa"/>
            <w:vAlign w:val="bottom"/>
          </w:tcPr>
          <w:p>
            <w:pPr>
              <w:spacing w:after="0"/>
              <w:rPr>
                <w:sz w:val="24"/>
                <w:szCs w:val="24"/>
                <w:color w:val="auto"/>
              </w:rPr>
            </w:pPr>
          </w:p>
        </w:tc>
        <w:tc>
          <w:tcPr>
            <w:tcW w:w="2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Opinion of Holland &amp; Knight LLP.</w:t>
            </w:r>
          </w:p>
        </w:tc>
        <w:tc>
          <w:tcPr>
            <w:tcW w:w="6900" w:type="dxa"/>
            <w:vAlign w:val="bottom"/>
            <w:gridSpan w:val="9"/>
          </w:tcPr>
          <w:p>
            <w:pPr>
              <w:spacing w:after="0"/>
              <w:rPr>
                <w:sz w:val="24"/>
                <w:szCs w:val="24"/>
                <w:color w:val="auto"/>
              </w:rPr>
            </w:pPr>
          </w:p>
        </w:tc>
      </w:tr>
      <w:tr>
        <w:trPr>
          <w:trHeight w:val="32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560" w:type="dxa"/>
            <w:vAlign w:val="bottom"/>
          </w:tcPr>
          <w:p>
            <w:pPr>
              <w:spacing w:after="0"/>
              <w:rPr>
                <w:sz w:val="24"/>
                <w:szCs w:val="24"/>
                <w:color w:val="auto"/>
              </w:rPr>
            </w:pPr>
          </w:p>
        </w:tc>
        <w:tc>
          <w:tcPr>
            <w:tcW w:w="89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Consent of Deloitte &amp; Touche LLP, independent registered public accounting firm.</w:t>
            </w:r>
          </w:p>
        </w:tc>
      </w:tr>
      <w:tr>
        <w:trPr>
          <w:trHeight w:val="32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560" w:type="dxa"/>
            <w:vAlign w:val="bottom"/>
          </w:tcPr>
          <w:p>
            <w:pPr>
              <w:spacing w:after="0"/>
              <w:rPr>
                <w:sz w:val="24"/>
                <w:szCs w:val="24"/>
                <w:color w:val="auto"/>
              </w:rPr>
            </w:pPr>
          </w:p>
        </w:tc>
        <w:tc>
          <w:tcPr>
            <w:tcW w:w="44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Consent of Holland &amp; Knight LLP (included in opinion filed as Exhibit 5.1).</w:t>
            </w:r>
          </w:p>
        </w:tc>
        <w:tc>
          <w:tcPr>
            <w:tcW w:w="360" w:type="dxa"/>
            <w:vAlign w:val="bottom"/>
            <w:tcBorders>
              <w:top w:val="single" w:sz="8" w:color="0000FF"/>
            </w:tcBorders>
          </w:tcPr>
          <w:p>
            <w:pPr>
              <w:spacing w:after="0"/>
              <w:rPr>
                <w:sz w:val="24"/>
                <w:szCs w:val="24"/>
                <w:color w:val="auto"/>
              </w:rPr>
            </w:pPr>
          </w:p>
        </w:tc>
        <w:tc>
          <w:tcPr>
            <w:tcW w:w="4160" w:type="dxa"/>
            <w:vAlign w:val="bottom"/>
            <w:gridSpan w:val="6"/>
          </w:tcPr>
          <w:p>
            <w:pPr>
              <w:spacing w:after="0"/>
              <w:rPr>
                <w:sz w:val="24"/>
                <w:szCs w:val="24"/>
                <w:color w:val="auto"/>
              </w:rPr>
            </w:pPr>
          </w:p>
        </w:tc>
      </w:tr>
      <w:tr>
        <w:trPr>
          <w:trHeight w:val="32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560" w:type="dxa"/>
            <w:vAlign w:val="bottom"/>
          </w:tcPr>
          <w:p>
            <w:pPr>
              <w:spacing w:after="0"/>
              <w:rPr>
                <w:sz w:val="24"/>
                <w:szCs w:val="24"/>
                <w:color w:val="auto"/>
              </w:rPr>
            </w:pPr>
          </w:p>
        </w:tc>
        <w:tc>
          <w:tcPr>
            <w:tcW w:w="89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Powers of Attorney.</w:t>
            </w:r>
          </w:p>
        </w:tc>
      </w:tr>
      <w:tr>
        <w:trPr>
          <w:trHeight w:val="20"/>
        </w:trPr>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r>
      <w:tr>
        <w:trPr>
          <w:trHeight w:val="32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25.1</w:t>
            </w:r>
          </w:p>
        </w:tc>
        <w:tc>
          <w:tcPr>
            <w:tcW w:w="560" w:type="dxa"/>
            <w:vAlign w:val="bottom"/>
          </w:tcPr>
          <w:p>
            <w:pPr>
              <w:spacing w:after="0"/>
              <w:rPr>
                <w:sz w:val="24"/>
                <w:szCs w:val="24"/>
                <w:color w:val="auto"/>
              </w:rPr>
            </w:pPr>
          </w:p>
        </w:tc>
        <w:tc>
          <w:tcPr>
            <w:tcW w:w="89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Form T-1 Statement of Eligibility of Trustee under the Trust Indenture Act of 1939.</w:t>
            </w:r>
          </w:p>
        </w:tc>
      </w:tr>
      <w:tr>
        <w:trPr>
          <w:trHeight w:val="325"/>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560" w:type="dxa"/>
            <w:vAlign w:val="bottom"/>
          </w:tcPr>
          <w:p>
            <w:pPr>
              <w:spacing w:after="0"/>
              <w:rPr>
                <w:sz w:val="24"/>
                <w:szCs w:val="24"/>
                <w:color w:val="auto"/>
              </w:rPr>
            </w:pPr>
          </w:p>
        </w:tc>
        <w:tc>
          <w:tcPr>
            <w:tcW w:w="10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Filing Fee Table.</w:t>
            </w:r>
          </w:p>
        </w:tc>
        <w:tc>
          <w:tcPr>
            <w:tcW w:w="3820" w:type="dxa"/>
            <w:vAlign w:val="bottom"/>
            <w:tcBorders>
              <w:top w:val="single" w:sz="8" w:color="0000FF"/>
            </w:tcBorders>
            <w:gridSpan w:val="8"/>
          </w:tcPr>
          <w:p>
            <w:pPr>
              <w:spacing w:after="0"/>
              <w:rPr>
                <w:sz w:val="24"/>
                <w:szCs w:val="24"/>
                <w:color w:val="auto"/>
              </w:rPr>
            </w:pPr>
          </w:p>
        </w:tc>
        <w:tc>
          <w:tcPr>
            <w:tcW w:w="4120" w:type="dxa"/>
            <w:vAlign w:val="bottom"/>
            <w:gridSpan w:val="5"/>
          </w:tcPr>
          <w:p>
            <w:pPr>
              <w:spacing w:after="0"/>
              <w:rPr>
                <w:sz w:val="24"/>
                <w:szCs w:val="24"/>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To be filed with a Current Report on Form 8-K or a Post-Effective Amendment to this registration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undersigned registrant hereby undertakes:</w:t>
      </w:r>
    </w:p>
    <w:p>
      <w:pPr>
        <w:spacing w:after="0" w:line="184" w:lineRule="exact"/>
        <w:rPr>
          <w:sz w:val="20"/>
          <w:szCs w:val="20"/>
          <w:color w:val="auto"/>
        </w:rPr>
      </w:pPr>
    </w:p>
    <w:p>
      <w:pPr>
        <w:ind w:left="200" w:hanging="194"/>
        <w:spacing w:after="0"/>
        <w:tabs>
          <w:tab w:leader="none" w:pos="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8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 of 1933;</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386715</wp:posOffset>
            </wp:positionV>
            <wp:extent cx="718566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2" w:name="page33"/>
    <w:bookmarkEnd w:id="32"/>
    <w:p>
      <w:pPr>
        <w:ind w:right="20" w:firstLine="6"/>
        <w:spacing w:after="0" w:line="266" w:lineRule="auto"/>
        <w:tabs>
          <w:tab w:leader="none" w:pos="21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141" w:lineRule="exact"/>
        <w:rPr>
          <w:rFonts w:ascii="Times New Roman" w:cs="Times New Roman" w:eastAsia="Times New Roman" w:hAnsi="Times New Roman"/>
          <w:sz w:val="14"/>
          <w:szCs w:val="14"/>
          <w:color w:val="auto"/>
        </w:rPr>
      </w:pPr>
    </w:p>
    <w:p>
      <w:pPr>
        <w:ind w:right="140" w:firstLine="6"/>
        <w:spacing w:after="0" w:line="294" w:lineRule="auto"/>
        <w:tabs>
          <w:tab w:leader="none" w:pos="25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provided, however, that clauses (i), (ii) and (iii) do not apply if the information required to be included in a post- 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36" w:lineRule="exact"/>
        <w:rPr>
          <w:sz w:val="20"/>
          <w:szCs w:val="20"/>
          <w:color w:val="auto"/>
        </w:rPr>
      </w:pPr>
    </w:p>
    <w:p>
      <w:pPr>
        <w:ind w:right="340" w:firstLine="6"/>
        <w:spacing w:after="0" w:line="294" w:lineRule="auto"/>
        <w:tabs>
          <w:tab w:leader="none" w:pos="20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2"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83"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84" w:lineRule="exact"/>
        <w:rPr>
          <w:sz w:val="20"/>
          <w:szCs w:val="20"/>
          <w:color w:val="auto"/>
        </w:rPr>
      </w:pPr>
    </w:p>
    <w:p>
      <w:pPr>
        <w:ind w:right="120" w:firstLine="6"/>
        <w:spacing w:after="0" w:line="294" w:lineRule="auto"/>
        <w:tabs>
          <w:tab w:leader="none" w:pos="17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2" w:lineRule="exact"/>
        <w:rPr>
          <w:rFonts w:ascii="Times New Roman" w:cs="Times New Roman" w:eastAsia="Times New Roman" w:hAnsi="Times New Roman"/>
          <w:sz w:val="14"/>
          <w:szCs w:val="14"/>
          <w:color w:val="auto"/>
        </w:rPr>
      </w:pPr>
    </w:p>
    <w:p>
      <w:pPr>
        <w:ind w:left="220" w:hanging="214"/>
        <w:spacing w:after="0"/>
        <w:tabs>
          <w:tab w:leader="none" w:pos="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w:t>
      </w:r>
    </w:p>
    <w:p>
      <w:pPr>
        <w:spacing w:after="0" w:line="24" w:lineRule="exact"/>
        <w:rPr>
          <w:rFonts w:ascii="Times New Roman" w:cs="Times New Roman" w:eastAsia="Times New Roman" w:hAnsi="Times New Roman"/>
          <w:sz w:val="14"/>
          <w:szCs w:val="14"/>
          <w:color w:val="auto"/>
        </w:rPr>
      </w:pPr>
    </w:p>
    <w:p>
      <w:pPr>
        <w:ind w:right="2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(1)(i),(vii),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 That, for the purpose of determining liability of the registrant under the Securities Act to any purchaser in the initial distribution of the securities:</w:t>
      </w:r>
    </w:p>
    <w:p>
      <w:pPr>
        <w:spacing w:after="0" w:line="18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386715</wp:posOffset>
            </wp:positionV>
            <wp:extent cx="718566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9" w:right="319" w:bottom="1440" w:gutter="0" w:footer="0" w:header="0"/>
        </w:sectPr>
      </w:pPr>
    </w:p>
    <w:bookmarkStart w:id="33" w:name="page34"/>
    <w:bookmarkEnd w:id="33"/>
    <w:p>
      <w:pPr>
        <w:ind w:left="180" w:hanging="174"/>
        <w:spacing w:after="0"/>
        <w:tabs>
          <w:tab w:leader="none" w:pos="1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83" w:lineRule="exact"/>
        <w:rPr>
          <w:rFonts w:ascii="Times New Roman" w:cs="Times New Roman" w:eastAsia="Times New Roman" w:hAnsi="Times New Roman"/>
          <w:sz w:val="14"/>
          <w:szCs w:val="14"/>
          <w:color w:val="auto"/>
        </w:rPr>
      </w:pPr>
    </w:p>
    <w:p>
      <w:pPr>
        <w:ind w:left="220" w:hanging="214"/>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83" w:lineRule="exact"/>
        <w:rPr>
          <w:rFonts w:ascii="Times New Roman" w:cs="Times New Roman" w:eastAsia="Times New Roman" w:hAnsi="Times New Roman"/>
          <w:sz w:val="14"/>
          <w:szCs w:val="14"/>
          <w:color w:val="auto"/>
        </w:rPr>
      </w:pPr>
    </w:p>
    <w:p>
      <w:pPr>
        <w:ind w:right="420" w:firstLine="6"/>
        <w:spacing w:after="0" w:line="294" w:lineRule="auto"/>
        <w:tabs>
          <w:tab w:leader="none" w:pos="25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2" w:lineRule="exact"/>
        <w:rPr>
          <w:rFonts w:ascii="Times New Roman" w:cs="Times New Roman" w:eastAsia="Times New Roman" w:hAnsi="Times New Roman"/>
          <w:sz w:val="14"/>
          <w:szCs w:val="14"/>
          <w:color w:val="auto"/>
        </w:rPr>
      </w:pPr>
    </w:p>
    <w:p>
      <w:pPr>
        <w:ind w:left="240" w:hanging="234"/>
        <w:spacing w:after="0"/>
        <w:tabs>
          <w:tab w:leader="none" w:pos="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4" w:lineRule="exact"/>
        <w:rPr>
          <w:sz w:val="20"/>
          <w:szCs w:val="20"/>
          <w:color w:val="auto"/>
        </w:rPr>
      </w:pPr>
    </w:p>
    <w:p>
      <w:pPr>
        <w:jc w:val="both"/>
        <w:ind w:right="80" w:firstLine="6"/>
        <w:spacing w:after="0" w:line="269" w:lineRule="auto"/>
        <w:tabs>
          <w:tab w:leader="none" w:pos="22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4"/>
          <w:szCs w:val="14"/>
          <w:color w:val="auto"/>
        </w:rPr>
      </w:pPr>
    </w:p>
    <w:p>
      <w:pPr>
        <w:ind w:right="60" w:firstLine="6"/>
        <w:spacing w:after="0" w:line="294" w:lineRule="auto"/>
        <w:tabs>
          <w:tab w:leader="none" w:pos="22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22" w:lineRule="exact"/>
        <w:rPr>
          <w:rFonts w:ascii="Times New Roman" w:cs="Times New Roman" w:eastAsia="Times New Roman" w:hAnsi="Times New Roman"/>
          <w:sz w:val="14"/>
          <w:szCs w:val="14"/>
          <w:color w:val="auto"/>
        </w:rPr>
      </w:pPr>
    </w:p>
    <w:p>
      <w:pPr>
        <w:ind w:firstLine="6"/>
        <w:spacing w:after="0" w:line="264" w:lineRule="auto"/>
        <w:tabs>
          <w:tab w:leader="none" w:pos="23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386715</wp:posOffset>
            </wp:positionV>
            <wp:extent cx="718566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9" w:right="319" w:bottom="1440" w:gutter="0" w:footer="0" w:header="0"/>
        </w:sectPr>
      </w:pPr>
    </w:p>
    <w:bookmarkStart w:id="34" w:name="page35"/>
    <w:bookmarkEnd w:id="34"/>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Daytona Beach, State of Florida, on May 7, 2026.</w:t>
      </w:r>
    </w:p>
    <w:p>
      <w:pPr>
        <w:spacing w:after="0" w:line="1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BROWN &amp; BROWN, INC.</w:t>
      </w:r>
    </w:p>
    <w:p>
      <w:pPr>
        <w:spacing w:after="0" w:line="1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J. Powell Brown</w:t>
      </w:r>
    </w:p>
    <w:p>
      <w:pPr>
        <w:spacing w:after="0" w:line="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J. Powell Brown</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1602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indicated on May 7, 2026.</w:t>
      </w:r>
    </w:p>
    <w:p>
      <w:pPr>
        <w:sectPr>
          <w:pgSz w:w="11900" w:h="16838" w:orient="portrait"/>
          <w:cols w:equalWidth="0" w:num="1">
            <w:col w:w="11200"/>
          </w:cols>
          <w:pgMar w:left="300" w:top="1157" w:right="399" w:bottom="1440" w:gutter="0" w:footer="0" w:header="0"/>
        </w:sectPr>
      </w:pP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22770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3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22770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J. Powell Brown</w:t>
      </w: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22770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R. Andrew Watts</w:t>
      </w: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 Paul 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22770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Paul M. Gallagher</w:t>
      </w: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22770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J. Hyatt Brown</w:t>
      </w: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22770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Lawrence L. Gellerstedt III</w:t>
      </w: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22770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Theodore J. Hoepner</w:t>
      </w: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22770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James S. Hunt</w:t>
      </w: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22770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227705" cy="698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Toni Jennings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48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30480</wp:posOffset>
            </wp:positionV>
            <wp:extent cx="33508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350895" cy="698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 president and chief executive officer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 financial officer)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Vice president, controller and chief accounting officer (principal accounting officer)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Chairman of the board</w:t>
      </w:r>
    </w:p>
    <w:p>
      <w:pPr>
        <w:spacing w:after="0" w:line="200" w:lineRule="exact"/>
        <w:rPr>
          <w:sz w:val="20"/>
          <w:szCs w:val="20"/>
          <w:color w:val="auto"/>
        </w:rPr>
      </w:pPr>
    </w:p>
    <w:p>
      <w:pPr>
        <w:spacing w:after="0" w:line="253"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53"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53"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53"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4"/>
          <w:szCs w:val="14"/>
          <w:color w:val="auto"/>
        </w:rPr>
        <w:t>Director</w:t>
      </w:r>
    </w:p>
    <w:p>
      <w:pPr>
        <w:spacing w:after="0" w:line="436" w:lineRule="exact"/>
        <w:rPr>
          <w:sz w:val="20"/>
          <w:szCs w:val="20"/>
          <w:color w:val="auto"/>
        </w:rPr>
      </w:pPr>
    </w:p>
    <w:p>
      <w:pPr>
        <w:sectPr>
          <w:pgSz w:w="11900" w:h="16838" w:orient="portrait"/>
          <w:cols w:equalWidth="0" w:num="2">
            <w:col w:w="5360" w:space="720"/>
            <w:col w:w="5120"/>
          </w:cols>
          <w:pgMar w:left="300" w:top="1157" w:right="399" w:bottom="1440" w:gutter="0" w:footer="0" w:header="0"/>
          <w:type w:val="continuous"/>
        </w:sect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386715</wp:posOffset>
            </wp:positionV>
            <wp:extent cx="718566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00"/>
          </w:cols>
          <w:pgMar w:left="300" w:top="1157" w:right="39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8"/>
        </w:trPr>
        <w:tc>
          <w:tcPr>
            <w:tcW w:w="5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95"/>
        </w:trPr>
        <w:tc>
          <w:tcPr>
            <w:tcW w:w="5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Joia M. Johnson</w:t>
            </w:r>
          </w:p>
        </w:tc>
        <w:tc>
          <w:tcPr>
            <w:tcW w:w="1480" w:type="dxa"/>
            <w:vAlign w:val="bottom"/>
          </w:tcPr>
          <w:p>
            <w:pPr>
              <w:spacing w:after="0"/>
              <w:rPr>
                <w:sz w:val="16"/>
                <w:szCs w:val="16"/>
                <w:color w:val="auto"/>
              </w:rPr>
            </w:pPr>
          </w:p>
        </w:tc>
      </w:tr>
      <w:tr>
        <w:trPr>
          <w:trHeight w:val="399"/>
        </w:trPr>
        <w:tc>
          <w:tcPr>
            <w:tcW w:w="5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95"/>
        </w:trPr>
        <w:tc>
          <w:tcPr>
            <w:tcW w:w="5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Paul J. Krump</w:t>
            </w:r>
          </w:p>
        </w:tc>
        <w:tc>
          <w:tcPr>
            <w:tcW w:w="1480" w:type="dxa"/>
            <w:vAlign w:val="bottom"/>
          </w:tcPr>
          <w:p>
            <w:pPr>
              <w:spacing w:after="0"/>
              <w:rPr>
                <w:sz w:val="16"/>
                <w:szCs w:val="16"/>
                <w:color w:val="auto"/>
              </w:rPr>
            </w:pPr>
          </w:p>
        </w:tc>
      </w:tr>
      <w:tr>
        <w:trPr>
          <w:trHeight w:val="399"/>
        </w:trPr>
        <w:tc>
          <w:tcPr>
            <w:tcW w:w="5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95"/>
        </w:trPr>
        <w:tc>
          <w:tcPr>
            <w:tcW w:w="5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Timothy R.M. Main</w:t>
            </w:r>
          </w:p>
        </w:tc>
        <w:tc>
          <w:tcPr>
            <w:tcW w:w="1480" w:type="dxa"/>
            <w:vAlign w:val="bottom"/>
          </w:tcPr>
          <w:p>
            <w:pPr>
              <w:spacing w:after="0"/>
              <w:rPr>
                <w:sz w:val="16"/>
                <w:szCs w:val="16"/>
                <w:color w:val="auto"/>
              </w:rPr>
            </w:pPr>
          </w:p>
        </w:tc>
      </w:tr>
      <w:tr>
        <w:trPr>
          <w:trHeight w:val="399"/>
        </w:trPr>
        <w:tc>
          <w:tcPr>
            <w:tcW w:w="5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95"/>
        </w:trPr>
        <w:tc>
          <w:tcPr>
            <w:tcW w:w="5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Bronislaw E. Masojada</w:t>
            </w:r>
          </w:p>
        </w:tc>
        <w:tc>
          <w:tcPr>
            <w:tcW w:w="1480" w:type="dxa"/>
            <w:vAlign w:val="bottom"/>
          </w:tcPr>
          <w:p>
            <w:pPr>
              <w:spacing w:after="0"/>
              <w:rPr>
                <w:sz w:val="16"/>
                <w:szCs w:val="16"/>
                <w:color w:val="auto"/>
              </w:rPr>
            </w:pPr>
          </w:p>
        </w:tc>
      </w:tr>
      <w:tr>
        <w:trPr>
          <w:trHeight w:val="399"/>
        </w:trPr>
        <w:tc>
          <w:tcPr>
            <w:tcW w:w="5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95"/>
        </w:trPr>
        <w:tc>
          <w:tcPr>
            <w:tcW w:w="5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Jaymin B. Patel</w:t>
            </w:r>
          </w:p>
        </w:tc>
        <w:tc>
          <w:tcPr>
            <w:tcW w:w="1480" w:type="dxa"/>
            <w:vAlign w:val="bottom"/>
          </w:tcPr>
          <w:p>
            <w:pPr>
              <w:spacing w:after="0"/>
              <w:rPr>
                <w:sz w:val="16"/>
                <w:szCs w:val="16"/>
                <w:color w:val="auto"/>
              </w:rPr>
            </w:pPr>
          </w:p>
        </w:tc>
      </w:tr>
      <w:tr>
        <w:trPr>
          <w:trHeight w:val="399"/>
        </w:trPr>
        <w:tc>
          <w:tcPr>
            <w:tcW w:w="5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95"/>
        </w:trPr>
        <w:tc>
          <w:tcPr>
            <w:tcW w:w="5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 Palmer Proctor, Jr.</w:t>
            </w:r>
          </w:p>
        </w:tc>
        <w:tc>
          <w:tcPr>
            <w:tcW w:w="1480" w:type="dxa"/>
            <w:vAlign w:val="bottom"/>
          </w:tcPr>
          <w:p>
            <w:pPr>
              <w:spacing w:after="0"/>
              <w:rPr>
                <w:sz w:val="16"/>
                <w:szCs w:val="16"/>
                <w:color w:val="auto"/>
              </w:rPr>
            </w:pPr>
          </w:p>
        </w:tc>
      </w:tr>
      <w:tr>
        <w:trPr>
          <w:trHeight w:val="399"/>
        </w:trPr>
        <w:tc>
          <w:tcPr>
            <w:tcW w:w="5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95"/>
        </w:trPr>
        <w:tc>
          <w:tcPr>
            <w:tcW w:w="5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Wendell S. Reilly</w:t>
            </w:r>
          </w:p>
        </w:tc>
        <w:tc>
          <w:tcPr>
            <w:tcW w:w="1480" w:type="dxa"/>
            <w:vAlign w:val="bottom"/>
          </w:tcPr>
          <w:p>
            <w:pPr>
              <w:spacing w:after="0"/>
              <w:rPr>
                <w:sz w:val="16"/>
                <w:szCs w:val="16"/>
                <w:color w:val="auto"/>
              </w:rPr>
            </w:pPr>
          </w:p>
        </w:tc>
      </w:tr>
      <w:tr>
        <w:trPr>
          <w:trHeight w:val="399"/>
        </w:trPr>
        <w:tc>
          <w:tcPr>
            <w:tcW w:w="5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1000"/>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95"/>
        </w:trPr>
        <w:tc>
          <w:tcPr>
            <w:tcW w:w="5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Kathleen A. Savio</w:t>
            </w:r>
          </w:p>
        </w:tc>
        <w:tc>
          <w:tcPr>
            <w:tcW w:w="1480" w:type="dxa"/>
            <w:vAlign w:val="bottom"/>
          </w:tcPr>
          <w:p>
            <w:pPr>
              <w:spacing w:after="0"/>
              <w:rPr>
                <w:sz w:val="16"/>
                <w:szCs w:val="16"/>
                <w:color w:val="auto"/>
              </w:rPr>
            </w:pPr>
          </w:p>
        </w:tc>
      </w:tr>
      <w:tr>
        <w:trPr>
          <w:trHeight w:val="399"/>
        </w:trPr>
        <w:tc>
          <w:tcPr>
            <w:tcW w:w="5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*By: /s/ Anthony M. Robinson</w:t>
            </w:r>
          </w:p>
        </w:tc>
        <w:tc>
          <w:tcPr>
            <w:tcW w:w="1480" w:type="dxa"/>
            <w:vAlign w:val="bottom"/>
          </w:tcPr>
          <w:p>
            <w:pPr>
              <w:spacing w:after="0"/>
              <w:rPr>
                <w:sz w:val="24"/>
                <w:szCs w:val="24"/>
                <w:color w:val="auto"/>
              </w:rPr>
            </w:pPr>
          </w:p>
        </w:tc>
      </w:tr>
      <w:tr>
        <w:trPr>
          <w:trHeight w:val="195"/>
        </w:trPr>
        <w:tc>
          <w:tcPr>
            <w:tcW w:w="5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Anthony M. Robinson</w:t>
            </w:r>
          </w:p>
        </w:tc>
        <w:tc>
          <w:tcPr>
            <w:tcW w:w="1480" w:type="dxa"/>
            <w:vAlign w:val="bottom"/>
          </w:tcPr>
          <w:p>
            <w:pPr>
              <w:spacing w:after="0"/>
              <w:rPr>
                <w:sz w:val="16"/>
                <w:szCs w:val="16"/>
                <w:color w:val="auto"/>
              </w:rPr>
            </w:pPr>
          </w:p>
        </w:tc>
      </w:tr>
      <w:tr>
        <w:trPr>
          <w:trHeight w:val="205"/>
        </w:trPr>
        <w:tc>
          <w:tcPr>
            <w:tcW w:w="5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Attorney-in-Fact</w:t>
            </w: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386715</wp:posOffset>
            </wp:positionV>
            <wp:extent cx="718566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159"/>
          </w:cols>
          <w:pgMar w:left="300" w:top="1159"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following descriptions of our capital stock and provisions of our Amended and Restated Articles of Incorporation, as amended (our “Articles of Incorporation”), and our By-Laws, as amended and restated (our “By-Laws”), are summaries of their material terms and provisions and are not complete and are subject to, and qualified in their entirety by reference to, each of the items identified below. For a complete description of our capital stock, Articles of Incorporation and By-Laws, please refer to our Articles of Incorporation, By-Laws and the applicable provisions of the Florida Business Corporations Act (the “FBCA”).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references to “Company”, “we”, “us” and “our” refer to Brown &amp; Brown, Inc.</w:t>
      </w:r>
    </w:p>
    <w:p>
      <w:pPr>
        <w:spacing w:after="0" w:line="1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Our common stock is the only class of our capital stock registered under the Securities Exchange Act of 1934 (the “Exchange Act”), and it is registered under Section 12(b) thereof.</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Under our Articles of Incorporation, the number of shares of capital stock that we have authority to issue is 560,000,000 shares of our common stock, par value $0.10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i w:val="1"/>
          <w:iCs w:val="1"/>
          <w:color w:val="auto"/>
        </w:rPr>
        <w:t xml:space="preserve">Voting. </w:t>
      </w:r>
      <w:r>
        <w:rPr>
          <w:rFonts w:ascii="Times New Roman" w:cs="Times New Roman" w:eastAsia="Times New Roman" w:hAnsi="Times New Roman"/>
          <w:sz w:val="17"/>
          <w:szCs w:val="17"/>
          <w:color w:val="auto"/>
        </w:rPr>
        <w:t>Each holder of our common stock is entitled to one vote for each share held. Shareholders do not have the right to cumulate their votes in elections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Accordingly, directors are elected by a majority of the votes of the shares present in person or represented by proxy at the meeting and actually cast with respect to the director in uncontested elections. If our Board of Directors (the “Board”) determines that an election is contested, then directors are elected by a plurality of the votes of the shares present in person or represented by proxy at the meeting and entitled to vote on the election of directors. Action on a matter other than the election of directors is approved if the votes cast favoring the action exceed the votes cast opposing the action (excluding abstentions and broker non-votes), unless the Articles of Incorporation, By-Laws or applicable law requires a greater number of affirmative votes.</w:t>
      </w:r>
    </w:p>
    <w:p>
      <w:pPr>
        <w:spacing w:after="0" w:line="1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Holders of our common stock will be entitled to dividends on a pro rata basis upon declaration of dividends by our Board. Dividends will be payable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only out of unreserved and unrestricted surplus that is legally available for the payment of dividends. Dividends that may be declared on our common stock will be paid in an equal amount to the holder of each share of our common stock. Any determination to declare or pay dividends in the future will be at the discretion of our Board and will depend on our results of operations, financial condition, contractual or legal restrictions and other factors deemed relevant by our Board.</w:t>
      </w:r>
    </w:p>
    <w:p>
      <w:pPr>
        <w:spacing w:after="0" w:line="134" w:lineRule="exact"/>
        <w:rPr>
          <w:sz w:val="20"/>
          <w:szCs w:val="20"/>
          <w:color w:val="auto"/>
        </w:rPr>
      </w:pPr>
    </w:p>
    <w:p>
      <w:pPr>
        <w:ind w:right="5160"/>
        <w:spacing w:after="0" w:line="483" w:lineRule="auto"/>
        <w:rPr>
          <w:sz w:val="20"/>
          <w:szCs w:val="20"/>
          <w:color w:val="auto"/>
        </w:rPr>
      </w:pPr>
      <w:r>
        <w:rPr>
          <w:rFonts w:ascii="Times New Roman" w:cs="Times New Roman" w:eastAsia="Times New Roman" w:hAnsi="Times New Roman"/>
          <w:sz w:val="17"/>
          <w:szCs w:val="17"/>
          <w:color w:val="auto"/>
        </w:rPr>
        <w:t xml:space="preserve">Our common stock is listed on the New York Stock Exchange under the symbol “BRO.” </w:t>
      </w:r>
      <w:r>
        <w:rPr>
          <w:rFonts w:ascii="Times New Roman" w:cs="Times New Roman" w:eastAsia="Times New Roman" w:hAnsi="Times New Roman"/>
          <w:sz w:val="17"/>
          <w:szCs w:val="17"/>
          <w:b w:val="1"/>
          <w:bCs w:val="1"/>
          <w:color w:val="auto"/>
        </w:rPr>
        <w:t>No Redemption, Conversion or Preemptive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676910</wp:posOffset>
            </wp:positionV>
            <wp:extent cx="718566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49" w:right="319" w:bottom="1440" w:gutter="0" w:footer="0" w:header="0"/>
        </w:sectPr>
      </w:pPr>
    </w:p>
    <w:bookmarkStart w:id="37" w:name="page38"/>
    <w:bookmarkEnd w:id="37"/>
    <w:p>
      <w:pPr>
        <w:jc w:val="both"/>
        <w:spacing w:after="0" w:line="272" w:lineRule="auto"/>
        <w:rPr>
          <w:sz w:val="20"/>
          <w:szCs w:val="20"/>
          <w:color w:val="auto"/>
        </w:rPr>
      </w:pPr>
      <w:r>
        <w:rPr>
          <w:rFonts w:ascii="Times New Roman" w:cs="Times New Roman" w:eastAsia="Times New Roman" w:hAnsi="Times New Roman"/>
          <w:sz w:val="17"/>
          <w:szCs w:val="17"/>
          <w:color w:val="auto"/>
        </w:rPr>
        <w:t>No preemptive rights are conferred upon the holders of our common stock and there are no liquidation or conversion rights. There are no redemption or sinking fund provisions and there is no liability to further calls or to assessments by 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Fully Paid and Nonassessable</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When we issue shares of our common stock, the shares will be fully paid and nonassessable, which means that the full purchase price of the shares will have been paid and holders of the shares will not be assessed any additional monies for the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Restrictions on Transfer</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Neither our Articles of Incorporation nor our By-Laws contain any restrictions on the transfer of our common stock. In the case of any transfer of our common stock, there may be restrictions imposed by applicable securities laws.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Equiniti Trust Company, LLC.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of Our Articles of Incorporation, By-Laws and the FBCA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FBCA</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are subject to certain anti-takeover provisions that apply to public corporations under Florida law. Pursuant to Section 607.0901 of the FBCA, a publicly-held Florida corporation may not engage in a broad range of business combinations or other extraordinary corporate transactions with an “interested shareholder” without the approval of the board of directors of such corporation and the authorization of the holders of two-thirds of the outstanding voting shares of such corporation (excluding shares held by the interested shareholder) at an annual or special meeting of shareholders, unless:</w:t>
      </w:r>
    </w:p>
    <w:p>
      <w:pPr>
        <w:spacing w:after="0" w:line="136" w:lineRule="exact"/>
        <w:rPr>
          <w:sz w:val="20"/>
          <w:szCs w:val="20"/>
          <w:color w:val="auto"/>
        </w:rPr>
      </w:pPr>
    </w:p>
    <w:p>
      <w:pPr>
        <w:ind w:left="760" w:hanging="374"/>
        <w:spacing w:after="0"/>
        <w:tabs>
          <w:tab w:leader="none" w:pos="7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is approved by a majority of disinterested directors;</w:t>
      </w:r>
    </w:p>
    <w:p>
      <w:pPr>
        <w:spacing w:after="0" w:line="170" w:lineRule="exact"/>
        <w:rPr>
          <w:rFonts w:ascii="Times New Roman" w:cs="Times New Roman" w:eastAsia="Times New Roman" w:hAnsi="Times New Roman"/>
          <w:sz w:val="17"/>
          <w:szCs w:val="17"/>
          <w:color w:val="auto"/>
        </w:rPr>
      </w:pPr>
    </w:p>
    <w:p>
      <w:pPr>
        <w:ind w:left="760" w:right="120" w:hanging="374"/>
        <w:spacing w:after="0" w:line="272" w:lineRule="auto"/>
        <w:tabs>
          <w:tab w:leader="none" w:pos="7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interested shareholder has beneficially owned (together with affiliates and associates) at least 80% of the corporation’s outstanding voting shares for at least three years preceding the announcement date of any such business combination;</w:t>
      </w:r>
    </w:p>
    <w:p>
      <w:pPr>
        <w:spacing w:after="0" w:line="116" w:lineRule="exact"/>
        <w:rPr>
          <w:rFonts w:ascii="Times New Roman" w:cs="Times New Roman" w:eastAsia="Times New Roman" w:hAnsi="Times New Roman"/>
          <w:sz w:val="17"/>
          <w:szCs w:val="17"/>
          <w:color w:val="auto"/>
        </w:rPr>
      </w:pPr>
    </w:p>
    <w:p>
      <w:pPr>
        <w:ind w:left="760" w:right="120" w:hanging="374"/>
        <w:spacing w:after="0" w:line="272" w:lineRule="auto"/>
        <w:tabs>
          <w:tab w:leader="none" w:pos="7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interested shareholder is the beneficial owner (together with affiliates and associates) of at least 90% of the outstanding voting shares of the corporation, exclusive of shares acquired directly from the corporation in a transaction not approved by a majority of the disinterested directors; or</w:t>
      </w:r>
    </w:p>
    <w:p>
      <w:pPr>
        <w:spacing w:after="0" w:line="116" w:lineRule="exact"/>
        <w:rPr>
          <w:rFonts w:ascii="Times New Roman" w:cs="Times New Roman" w:eastAsia="Times New Roman" w:hAnsi="Times New Roman"/>
          <w:sz w:val="17"/>
          <w:szCs w:val="17"/>
          <w:color w:val="auto"/>
        </w:rPr>
      </w:pPr>
    </w:p>
    <w:p>
      <w:pPr>
        <w:ind w:left="760" w:hanging="374"/>
        <w:spacing w:after="0"/>
        <w:tabs>
          <w:tab w:leader="none" w:pos="7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consideration paid to the holders of the corporation’s voting stock is at least equal to certain fair price criteria.</w:t>
      </w:r>
    </w:p>
    <w:p>
      <w:pPr>
        <w:spacing w:after="0" w:line="200" w:lineRule="exact"/>
        <w:rPr>
          <w:sz w:val="20"/>
          <w:szCs w:val="20"/>
          <w:color w:val="auto"/>
        </w:rPr>
      </w:pPr>
    </w:p>
    <w:p>
      <w:pPr>
        <w:spacing w:after="0" w:line="33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An “interested shareholder” is defined as a person who beneficially owns more than 15% of a corporation’s outstanding voting shares. We have not made an election in our Articles of Incorporation to opt out of Section 607.0901.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505460</wp:posOffset>
            </wp:positionV>
            <wp:extent cx="718566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3" w:right="319" w:bottom="1440" w:gutter="0" w:footer="0" w:header="0"/>
        </w:sectPr>
      </w:pPr>
    </w:p>
    <w:bookmarkStart w:id="38" w:name="page39"/>
    <w:bookmarkEnd w:id="38"/>
    <w:p>
      <w:pPr>
        <w:jc w:val="both"/>
        <w:spacing w:after="0" w:line="244" w:lineRule="auto"/>
        <w:rPr>
          <w:sz w:val="20"/>
          <w:szCs w:val="20"/>
          <w:color w:val="auto"/>
        </w:rPr>
      </w:pPr>
      <w:r>
        <w:rPr>
          <w:rFonts w:ascii="Times New Roman" w:cs="Times New Roman" w:eastAsia="Times New Roman" w:hAnsi="Times New Roman"/>
          <w:sz w:val="17"/>
          <w:szCs w:val="17"/>
          <w:color w:val="auto"/>
        </w:rPr>
        <w:t>In addition, we are subject to Section 607.0902 of the FBCA which prohibits the voting of shares in a publicly-held Florida corporation that are acquired in a “control share acquisition” unless: (1) our Board approved such acquisition prior to its consummation; or (2) after such acquisition, in lieu of prior approval by our Board, the holders of a majority of all the votes entitled to be cast, exclusive of shares owned by officers of the corporation, employee directors or the acquiring party, approve the granting of voting rights as to the shares acquired in the control share acquisition. A “control share acquisition” is defined as an acquisition that immediately thereafter, directly or indirectly, entitles the acquiring party to exercise or direct the exercise of the voting power of the corporation in an election of directors within any of the following ranges:</w:t>
      </w:r>
    </w:p>
    <w:p>
      <w:pPr>
        <w:spacing w:after="0" w:line="143" w:lineRule="exact"/>
        <w:rPr>
          <w:sz w:val="20"/>
          <w:szCs w:val="20"/>
          <w:color w:val="auto"/>
        </w:rPr>
      </w:pPr>
    </w:p>
    <w:p>
      <w:pPr>
        <w:ind w:left="760" w:hanging="374"/>
        <w:spacing w:after="0"/>
        <w:tabs>
          <w:tab w:leader="none" w:pos="7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one-fifth or more, but less than one-third, of all voting power;</w:t>
      </w:r>
    </w:p>
    <w:p>
      <w:pPr>
        <w:spacing w:after="0" w:line="170" w:lineRule="exact"/>
        <w:rPr>
          <w:rFonts w:ascii="Times New Roman" w:cs="Times New Roman" w:eastAsia="Times New Roman" w:hAnsi="Times New Roman"/>
          <w:sz w:val="17"/>
          <w:szCs w:val="17"/>
          <w:color w:val="auto"/>
        </w:rPr>
      </w:pPr>
    </w:p>
    <w:p>
      <w:pPr>
        <w:ind w:left="760" w:hanging="374"/>
        <w:spacing w:after="0"/>
        <w:tabs>
          <w:tab w:leader="none" w:pos="7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one-third or more, but less than a majority, of all voting power; or</w:t>
      </w:r>
    </w:p>
    <w:p>
      <w:pPr>
        <w:spacing w:after="0" w:line="170" w:lineRule="exact"/>
        <w:rPr>
          <w:rFonts w:ascii="Times New Roman" w:cs="Times New Roman" w:eastAsia="Times New Roman" w:hAnsi="Times New Roman"/>
          <w:sz w:val="17"/>
          <w:szCs w:val="17"/>
          <w:color w:val="auto"/>
        </w:rPr>
      </w:pPr>
    </w:p>
    <w:p>
      <w:pPr>
        <w:ind w:left="760" w:hanging="374"/>
        <w:spacing w:after="0"/>
        <w:tabs>
          <w:tab w:leader="none" w:pos="7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or more of all voting power.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statutory provisions may prevent takeover attempts that might result in a premium over the market price for shares of our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Articles of Incorporation and By-Laws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Number of Directors; Removal; Filling of Vacancies</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Our Articles of Incorporation and By-Laws provide that our Board shall consist of not less than three directors, which number may be set, increased or diminished from time to time by resolution of the Board.</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shareholders may remove any director from office, with or without cause, at any special meeting called for that purpose by vote of a majority of our shares entitled to vote and, subject to certain requirements set forth in our By-Laws, elect his or her successor. When the office of a director becomes vacant for any reason, unless the Articles of Incorporation provide otherwise: (i) our shareholders may fill the vacancy, (ii) the Board may fill the vacancy, or (iii) if the remaining directors are less than a quorum, the vacancy may be filled by the affirmative vote of a majority of all the directors then remaining in office.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Action</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By-Laws provide that shareholder action may be taken at an annual or special meeting of shareholders. Special meetings of shareholders may be called only by our President or our Board, whenever he, she or they deem it proper and shall be called by our Secretary if shareholders of record as of the record date fixed in accordance with Section 1.2(d) of our By-Laws, who hold the aggregate voting power as required by the FBCA, sign, date and deliver to our Secretary one or more written demands for the meeting describing the purpose or purposes for which it is to be held in accordance with our By-Laws, subject to certain additional requirements set forth in our By-Laws.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Advance Notice for Shareholder Proposals or Nominations at Meetings</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Our By-Laws establish an advance notice procedure for shareholder proposals to be brought before any meeting of shareholders and for nominations by shareholders of candidates for election as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505460</wp:posOffset>
            </wp:positionV>
            <wp:extent cx="718566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3" w:right="31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7"/>
          <w:szCs w:val="17"/>
          <w:color w:val="auto"/>
        </w:rPr>
        <w:t>directors at meetings at which directors are to be elected. Subject to any other applicable requirements, including Rule 14a-8 under the Exchange Act, only such business may be conducted at an annual meeting of shareholders as has been properly brought before the meeting. To be properly brought before an annual meeting, any nominations or other business must:</w:t>
      </w:r>
    </w:p>
    <w:p>
      <w:pPr>
        <w:spacing w:after="0" w:line="131" w:lineRule="exact"/>
        <w:rPr>
          <w:sz w:val="20"/>
          <w:szCs w:val="20"/>
          <w:color w:val="auto"/>
        </w:rPr>
      </w:pPr>
    </w:p>
    <w:p>
      <w:pPr>
        <w:ind w:left="760" w:hanging="374"/>
        <w:spacing w:after="0"/>
        <w:tabs>
          <w:tab w:leader="none" w:pos="7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specified in the notice of meeting (or in any supplement) given by, or at the direction of, our Board;</w:t>
      </w:r>
    </w:p>
    <w:p>
      <w:pPr>
        <w:spacing w:after="0" w:line="170" w:lineRule="exact"/>
        <w:rPr>
          <w:rFonts w:ascii="Times New Roman" w:cs="Times New Roman" w:eastAsia="Times New Roman" w:hAnsi="Times New Roman"/>
          <w:sz w:val="17"/>
          <w:szCs w:val="17"/>
          <w:color w:val="auto"/>
        </w:rPr>
      </w:pPr>
    </w:p>
    <w:p>
      <w:pPr>
        <w:ind w:left="760" w:right="120" w:hanging="374"/>
        <w:spacing w:after="0" w:line="272" w:lineRule="auto"/>
        <w:tabs>
          <w:tab w:leader="none" w:pos="7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not specified in the notice of meeting, be otherwise properly brought before the meeting by, or at the direction of, the chairman of the meeting or our Board; or</w:t>
      </w:r>
    </w:p>
    <w:p>
      <w:pPr>
        <w:spacing w:after="0" w:line="116" w:lineRule="exact"/>
        <w:rPr>
          <w:rFonts w:ascii="Times New Roman" w:cs="Times New Roman" w:eastAsia="Times New Roman" w:hAnsi="Times New Roman"/>
          <w:sz w:val="17"/>
          <w:szCs w:val="17"/>
          <w:color w:val="auto"/>
        </w:rPr>
      </w:pPr>
    </w:p>
    <w:p>
      <w:pPr>
        <w:jc w:val="both"/>
        <w:ind w:left="760" w:right="120" w:hanging="374"/>
        <w:spacing w:after="0" w:line="244" w:lineRule="auto"/>
        <w:tabs>
          <w:tab w:leader="none" w:pos="7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not specified in the notice of meeting, be otherwise properly brought before the annual meeting by any shareholder present in person who was a shareholder of record at the time such notice of meeting is delivered and is at the time of the meeting, is entitled to vote at the meeting and is compliant with the notice procedures set forth in Section 1.8 of our By-Laws, and, in the case of nominations, is compliant with the requirements of Rule 14a-19 under the Exchange Act, properly made such proposal in accordance with Rule 14a-8 under the Exchange Act or in the case of a shareholder nominations to be included in our proxy statement for an annual meeting of shareholders, is an eligible shareholder who satisfies the notice, ownership and other requirements of Section 1.9 of our By-Laws.</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addition, for business to be properly brought before an annual meeting by a shareholder, such business must be a proper matter for shareholder action pursuant to our By-Laws and under applicable law.</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With respect to a special meeting of the shareholders, only such business may be conducted at the meeting as has been specified in the notice of such special meeting or pursuant to Section 1.2 of our By-Laws. Nominations of persons for election to the Board may be made at a special meeting of shareholders at which directors are to be elected pursuant to the notice of meeting: (i) by or at the direction of the Board or shareholders pursuant to Section 1.2 of our By-Laws or (ii) provided that the Board (or shareholders pursuant to Section 1.2 of our By-Laws) has determined that directors shall be elected at such meeting, by any shareholder who is a shareholder of record at the time the notice provided for in the By-Laws is delivered to us, who is entitled to vote at the meeting and upon such election and who complies with the notice procedures set forth in Section 1.2 and Section 1.8 of our By-Laws and the requirements of Rule 14a-19 under the Exchange Act. At a meeting of shareholders, the chairman of the meeting shall, if the facts warrant, determine that the business was not properly brought before the meeting in accordance with the foregoing procedures, and if he or she should so determine, declare so at the meeting and any such business not properly brought before the meeting shall not be transacted.</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To be timely, a written notice of the intent of a shareholder to make a nomination of a person for election as a director or to bring any other business before an annual meeting must be delivered to, or mailed or received by, our Secretary at our principal executive offices not earlier than the close of business on the 120th day and not later than the close of business on the 90th day prior to the first anniversary of the date of the preceding year’s annual meeting of shareholders; provided, however, that if the date of the annual meeting is advanced more than 30 days prior to or delayed by more than 60 days after such anniversary date, such advance notice must be received by our Secretary no later than the close of business on the 90th day prior to such annual meeting or, if later, the tenth day following the day on which public announcement of the date of such annual meeting is first made by us.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505460</wp:posOffset>
            </wp:positionV>
            <wp:extent cx="718566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3" w:right="31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7"/>
          <w:szCs w:val="17"/>
          <w:color w:val="auto"/>
        </w:rPr>
        <w:t>If we call a special meeting of shareholders for the purpose of electing directors, notice of nominations must be received by our Secretary at our principal executive offices not later than the close of business on the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prior to the date of such special meeting, or if later, the tenth day following the date on which public announcement is first made of the date of the special meeting and of the nominees proposed by the Board to be elected at such meeting.</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To be in proper written form, every such notice by a shareholder must set forth as to each matter such shareholder proposes to bring before an annual or special meeting of the shareholders, the following:</w:t>
      </w:r>
    </w:p>
    <w:p>
      <w:pPr>
        <w:spacing w:after="0" w:line="117"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person whom the shareholder proposes to nominate for election or reelection as a director (each, a “proposed nominee”):</w:t>
      </w:r>
    </w:p>
    <w:p>
      <w:pPr>
        <w:spacing w:after="0" w:line="16" w:lineRule="exact"/>
        <w:rPr>
          <w:rFonts w:ascii="Times New Roman" w:cs="Times New Roman" w:eastAsia="Times New Roman" w:hAnsi="Times New Roman"/>
          <w:sz w:val="17"/>
          <w:szCs w:val="17"/>
          <w:color w:val="auto"/>
        </w:rPr>
      </w:pPr>
    </w:p>
    <w:p>
      <w:pPr>
        <w:ind w:left="960" w:hanging="202"/>
        <w:spacing w:after="0"/>
        <w:tabs>
          <w:tab w:leader="none" w:pos="96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date of birth, business address and residence address of the proposed nominee;</w:t>
      </w:r>
    </w:p>
    <w:p>
      <w:pPr>
        <w:spacing w:after="0" w:line="152" w:lineRule="exact"/>
        <w:rPr>
          <w:rFonts w:ascii="Times New Roman" w:cs="Times New Roman" w:eastAsia="Times New Roman" w:hAnsi="Times New Roman"/>
          <w:sz w:val="17"/>
          <w:szCs w:val="17"/>
          <w:color w:val="auto"/>
        </w:rPr>
      </w:pPr>
    </w:p>
    <w:p>
      <w:pPr>
        <w:ind w:left="1020" w:hanging="262"/>
        <w:spacing w:after="0"/>
        <w:tabs>
          <w:tab w:leader="none" w:pos="10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occupation or employment of the proposed nominee;</w:t>
      </w:r>
    </w:p>
    <w:p>
      <w:pPr>
        <w:spacing w:after="0" w:line="170" w:lineRule="exact"/>
        <w:rPr>
          <w:rFonts w:ascii="Times New Roman" w:cs="Times New Roman" w:eastAsia="Times New Roman" w:hAnsi="Times New Roman"/>
          <w:sz w:val="17"/>
          <w:szCs w:val="17"/>
          <w:color w:val="auto"/>
        </w:rPr>
      </w:pPr>
    </w:p>
    <w:p>
      <w:pPr>
        <w:ind w:left="1060" w:hanging="302"/>
        <w:spacing w:after="0"/>
        <w:tabs>
          <w:tab w:leader="none" w:pos="106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or series and number of shares of our capital stock, if any, that are owned beneficially and of record by the proposed nominee;</w:t>
      </w:r>
    </w:p>
    <w:p>
      <w:pPr>
        <w:spacing w:after="0" w:line="170" w:lineRule="exact"/>
        <w:rPr>
          <w:rFonts w:ascii="Times New Roman" w:cs="Times New Roman" w:eastAsia="Times New Roman" w:hAnsi="Times New Roman"/>
          <w:sz w:val="17"/>
          <w:szCs w:val="17"/>
          <w:color w:val="auto"/>
        </w:rPr>
      </w:pPr>
    </w:p>
    <w:p>
      <w:pPr>
        <w:jc w:val="both"/>
        <w:ind w:left="760" w:hanging="2"/>
        <w:spacing w:after="0" w:line="255" w:lineRule="auto"/>
        <w:tabs>
          <w:tab w:leader="none" w:pos="105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regarding each proposed nominee proposed by such shareholder as would be required to be included in a proxy statement or other filings required to be made in connection with the solicitation of proxies for election of directors pursuant to and in accordance with Section 14(a) of the Exchange Act and any other applicable provisions of the Exchange Act;</w:t>
      </w:r>
    </w:p>
    <w:p>
      <w:pPr>
        <w:spacing w:after="0" w:line="130" w:lineRule="exact"/>
        <w:rPr>
          <w:rFonts w:ascii="Times New Roman" w:cs="Times New Roman" w:eastAsia="Times New Roman" w:hAnsi="Times New Roman"/>
          <w:sz w:val="17"/>
          <w:szCs w:val="17"/>
          <w:color w:val="auto"/>
        </w:rPr>
      </w:pPr>
    </w:p>
    <w:p>
      <w:pPr>
        <w:jc w:val="both"/>
        <w:ind w:left="760" w:hanging="2"/>
        <w:spacing w:after="0" w:line="244" w:lineRule="auto"/>
        <w:tabs>
          <w:tab w:leader="none" w:pos="1005"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all direct and indirect compensation and other material monetary agreements, arrangements and understandings during the past three years, and any other material relationships, between or among such shareholder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all information that would be required to be disclosed pursuant to Item 404 of Regulation S-K if such proposing person were the “registrant” for purposes of such rule and the proposed nominee were a director or executive officer of such registrant; and</w:t>
      </w:r>
    </w:p>
    <w:p>
      <w:pPr>
        <w:spacing w:after="0" w:line="142" w:lineRule="exact"/>
        <w:rPr>
          <w:rFonts w:ascii="Times New Roman" w:cs="Times New Roman" w:eastAsia="Times New Roman" w:hAnsi="Times New Roman"/>
          <w:sz w:val="17"/>
          <w:szCs w:val="17"/>
          <w:color w:val="auto"/>
        </w:rPr>
      </w:pPr>
    </w:p>
    <w:p>
      <w:pPr>
        <w:ind w:left="760" w:hanging="2"/>
        <w:spacing w:after="0" w:line="272" w:lineRule="auto"/>
        <w:tabs>
          <w:tab w:leader="none" w:pos="105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written consent of each proposed nominee to being named in a proxy statement relating to our next meeting of shareholders at which directors are to be elected and to serving as a director if so elected.</w:t>
      </w:r>
    </w:p>
    <w:p>
      <w:pPr>
        <w:spacing w:after="0" w:line="11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item of business that the shareholder proposes to bring before a meeting:</w:t>
      </w:r>
    </w:p>
    <w:p>
      <w:pPr>
        <w:spacing w:after="0" w:line="16" w:lineRule="exact"/>
        <w:rPr>
          <w:rFonts w:ascii="Times New Roman" w:cs="Times New Roman" w:eastAsia="Times New Roman" w:hAnsi="Times New Roman"/>
          <w:sz w:val="17"/>
          <w:szCs w:val="17"/>
          <w:color w:val="auto"/>
        </w:rPr>
      </w:pPr>
    </w:p>
    <w:p>
      <w:pPr>
        <w:ind w:left="760" w:hanging="2"/>
        <w:spacing w:after="0" w:line="250" w:lineRule="auto"/>
        <w:tabs>
          <w:tab w:leader="none" w:pos="97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the matter and the text of the proposal or business (including the text of any resolutions proposed for consideration and, in the event that such business includes a proposal to amend our Articles of Incorporation or By-Laws, the text of the proposed amendment);</w:t>
      </w:r>
    </w:p>
    <w:p>
      <w:pPr>
        <w:spacing w:after="0" w:line="134" w:lineRule="exact"/>
        <w:rPr>
          <w:rFonts w:ascii="Times New Roman" w:cs="Times New Roman" w:eastAsia="Times New Roman" w:hAnsi="Times New Roman"/>
          <w:sz w:val="17"/>
          <w:szCs w:val="17"/>
          <w:color w:val="auto"/>
        </w:rPr>
      </w:pPr>
    </w:p>
    <w:p>
      <w:pPr>
        <w:ind w:left="1020" w:hanging="262"/>
        <w:spacing w:after="0"/>
        <w:tabs>
          <w:tab w:leader="none" w:pos="10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reasons for conducting such business at the meeting and any material interest in such business of each proposing person;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505460</wp:posOffset>
            </wp:positionV>
            <wp:extent cx="718566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3" w:right="319" w:bottom="1440" w:gutter="0" w:footer="0" w:header="0"/>
        </w:sectPr>
      </w:pPr>
    </w:p>
    <w:bookmarkStart w:id="41" w:name="page42"/>
    <w:bookmarkEnd w:id="41"/>
    <w:p>
      <w:pPr>
        <w:jc w:val="both"/>
        <w:ind w:left="380" w:hanging="2"/>
        <w:spacing w:after="0" w:line="255" w:lineRule="auto"/>
        <w:tabs>
          <w:tab w:leader="none" w:pos="696"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reasonably detailed description of all agreements, arrangements and understandings (x) between or among any of the proposing persons or (y) between or among any proposing person and any other person (including their names) in connection with the proposal of such business by such shareholder; and</w:t>
      </w:r>
    </w:p>
    <w:p>
      <w:pPr>
        <w:spacing w:after="0" w:line="130" w:lineRule="exact"/>
        <w:rPr>
          <w:rFonts w:ascii="Times New Roman" w:cs="Times New Roman" w:eastAsia="Times New Roman" w:hAnsi="Times New Roman"/>
          <w:sz w:val="17"/>
          <w:szCs w:val="17"/>
          <w:color w:val="auto"/>
        </w:rPr>
      </w:pPr>
    </w:p>
    <w:p>
      <w:pPr>
        <w:jc w:val="both"/>
        <w:ind w:left="380" w:hanging="2"/>
        <w:spacing w:after="0" w:line="255" w:lineRule="auto"/>
        <w:tabs>
          <w:tab w:leader="none" w:pos="7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relating to such shareholder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any other applicable provisions of the Exchange Act.</w:t>
      </w:r>
    </w:p>
    <w:p>
      <w:pPr>
        <w:spacing w:after="0" w:line="130" w:lineRule="exact"/>
        <w:rPr>
          <w:rFonts w:ascii="Times New Roman" w:cs="Times New Roman" w:eastAsia="Times New Roman" w:hAnsi="Times New Roman"/>
          <w:sz w:val="17"/>
          <w:szCs w:val="17"/>
          <w:color w:val="auto"/>
        </w:rPr>
      </w:pPr>
    </w:p>
    <w:p>
      <w:pPr>
        <w:jc w:val="both"/>
        <w:ind w:left="380" w:hanging="378"/>
        <w:spacing w:after="0" w:line="245" w:lineRule="auto"/>
        <w:tabs>
          <w:tab w:leader="none" w:pos="3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the shareholder giving the notice, the beneficial owner, if any, on whose behalf the nomination or proposal of other business is made, and any participant (as defined in paragraphs (a)(ii)-(vi) of Instruction 3 to Item 4 of Schedule 14A) with such shareholder in such solicitation (each a “proposing person”):</w:t>
      </w:r>
    </w:p>
    <w:p>
      <w:pPr>
        <w:ind w:left="380" w:hanging="2"/>
        <w:spacing w:after="0" w:line="250" w:lineRule="auto"/>
        <w:tabs>
          <w:tab w:leader="none" w:pos="608"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such shareholder, as they appear on our stock transfer books, and the name and address of such beneficial owner and participant;</w:t>
      </w:r>
    </w:p>
    <w:p>
      <w:pPr>
        <w:spacing w:after="0" w:line="134" w:lineRule="exact"/>
        <w:rPr>
          <w:rFonts w:ascii="Times New Roman" w:cs="Times New Roman" w:eastAsia="Times New Roman" w:hAnsi="Times New Roman"/>
          <w:sz w:val="17"/>
          <w:szCs w:val="17"/>
          <w:color w:val="auto"/>
        </w:rPr>
      </w:pPr>
    </w:p>
    <w:p>
      <w:pPr>
        <w:jc w:val="both"/>
        <w:ind w:left="380" w:hanging="2"/>
        <w:spacing w:after="0" w:line="255" w:lineRule="auto"/>
        <w:tabs>
          <w:tab w:leader="none" w:pos="635"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or series and number of shares of our capital stock that are owned beneficially and, directly or indirectly, of record by such shareholder and such beneficial owner, except that such proposing person shall in all events be deemed to beneficially own any of our shares of any class or series as to which such proposing person has a right to acquire beneficial ownership at any time in the future;</w:t>
      </w:r>
    </w:p>
    <w:p>
      <w:pPr>
        <w:spacing w:after="0" w:line="130" w:lineRule="exact"/>
        <w:rPr>
          <w:rFonts w:ascii="Times New Roman" w:cs="Times New Roman" w:eastAsia="Times New Roman" w:hAnsi="Times New Roman"/>
          <w:sz w:val="17"/>
          <w:szCs w:val="17"/>
          <w:color w:val="auto"/>
        </w:rPr>
      </w:pPr>
    </w:p>
    <w:p>
      <w:pPr>
        <w:ind w:left="680" w:hanging="302"/>
        <w:spacing w:after="0"/>
        <w:tabs>
          <w:tab w:leader="none" w:pos="68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upon which such shareholder acquired ownership of such shares;</w:t>
      </w:r>
    </w:p>
    <w:p>
      <w:pPr>
        <w:spacing w:after="0" w:line="170" w:lineRule="exact"/>
        <w:rPr>
          <w:rFonts w:ascii="Times New Roman" w:cs="Times New Roman" w:eastAsia="Times New Roman" w:hAnsi="Times New Roman"/>
          <w:sz w:val="17"/>
          <w:szCs w:val="17"/>
          <w:color w:val="auto"/>
        </w:rPr>
      </w:pPr>
    </w:p>
    <w:p>
      <w:pPr>
        <w:ind w:left="660" w:hanging="282"/>
        <w:spacing w:after="0"/>
        <w:tabs>
          <w:tab w:leader="none" w:pos="6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documentary evidence for any claim of beneficial ownership;</w:t>
      </w:r>
    </w:p>
    <w:p>
      <w:pPr>
        <w:spacing w:after="0" w:line="170" w:lineRule="exact"/>
        <w:rPr>
          <w:rFonts w:ascii="Times New Roman" w:cs="Times New Roman" w:eastAsia="Times New Roman" w:hAnsi="Times New Roman"/>
          <w:sz w:val="17"/>
          <w:szCs w:val="17"/>
          <w:color w:val="auto"/>
        </w:rPr>
      </w:pPr>
    </w:p>
    <w:p>
      <w:pPr>
        <w:ind w:left="380" w:hanging="2"/>
        <w:spacing w:after="0" w:line="272" w:lineRule="auto"/>
        <w:tabs>
          <w:tab w:leader="none" w:pos="62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shareholder is a holder of record of our capital stock, entitled to vote at such meeting, and intends to appear in person or by proxy at the meeting to bring such business before the meeting;</w:t>
      </w:r>
    </w:p>
    <w:p>
      <w:pPr>
        <w:spacing w:after="0" w:line="116" w:lineRule="exact"/>
        <w:rPr>
          <w:rFonts w:ascii="Times New Roman" w:cs="Times New Roman" w:eastAsia="Times New Roman" w:hAnsi="Times New Roman"/>
          <w:sz w:val="17"/>
          <w:szCs w:val="17"/>
          <w:color w:val="auto"/>
        </w:rPr>
      </w:pPr>
    </w:p>
    <w:p>
      <w:pPr>
        <w:ind w:left="380" w:hanging="2"/>
        <w:spacing w:after="0" w:line="272" w:lineRule="auto"/>
        <w:tabs>
          <w:tab w:leader="none" w:pos="686"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agreement, arrangement or understanding with respect to such nomination between or among the shareholder and any of its affiliates or associates, and any others (including their names) acting in concert with any of the foregoing;</w:t>
      </w:r>
    </w:p>
    <w:p>
      <w:pPr>
        <w:spacing w:after="0" w:line="116" w:lineRule="exact"/>
        <w:rPr>
          <w:rFonts w:ascii="Times New Roman" w:cs="Times New Roman" w:eastAsia="Times New Roman" w:hAnsi="Times New Roman"/>
          <w:sz w:val="17"/>
          <w:szCs w:val="17"/>
          <w:color w:val="auto"/>
        </w:rPr>
      </w:pPr>
    </w:p>
    <w:p>
      <w:pPr>
        <w:jc w:val="both"/>
        <w:ind w:left="380" w:hanging="2"/>
        <w:spacing w:after="0" w:line="249" w:lineRule="auto"/>
        <w:tabs>
          <w:tab w:leader="none" w:pos="75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agreement, arrangement or understanding (including any derivative or short positions, profit interests, options, hedging transactions, and borrowed or loaned shares) that has been entered into as of the date of the shareholder’s notice by, or on behalf of, the shareholder or any of its affiliates or associates, the effect or intent of which is to mitigate loss to, manage risk or benefit of share price changes for, or increase or decrease the voting power of the shareholder or any of its affiliates or associates with respect to our shares of stock;</w:t>
      </w:r>
    </w:p>
    <w:p>
      <w:pPr>
        <w:spacing w:after="0" w:line="136" w:lineRule="exact"/>
        <w:rPr>
          <w:rFonts w:ascii="Times New Roman" w:cs="Times New Roman" w:eastAsia="Times New Roman" w:hAnsi="Times New Roman"/>
          <w:sz w:val="17"/>
          <w:szCs w:val="17"/>
          <w:color w:val="auto"/>
        </w:rPr>
      </w:pPr>
    </w:p>
    <w:p>
      <w:pPr>
        <w:jc w:val="both"/>
        <w:ind w:left="380" w:hanging="2"/>
        <w:spacing w:after="0" w:line="255" w:lineRule="auto"/>
        <w:tabs>
          <w:tab w:leader="none" w:pos="77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proposal other than a nomination, a representation as to whether the shareholder intends to deliver a proxy statement and/or form of proxy to holders of at least the percentage of our outstanding capital stock required to approve the proposal and/or otherwise to solicit proxies from shareholders in support of the proposal;</w:t>
      </w:r>
    </w:p>
    <w:p>
      <w:pPr>
        <w:spacing w:after="0" w:line="26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505460</wp:posOffset>
            </wp:positionV>
            <wp:extent cx="718566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900"/>
          </w:cols>
          <w:pgMar w:left="680" w:top="1153" w:right="319" w:bottom="1440" w:gutter="0" w:footer="0" w:header="0"/>
        </w:sectPr>
      </w:pPr>
    </w:p>
    <w:bookmarkStart w:id="42" w:name="page43"/>
    <w:bookmarkEnd w:id="42"/>
    <w:p>
      <w:pPr>
        <w:ind w:left="760" w:hanging="2"/>
        <w:spacing w:after="0" w:line="272" w:lineRule="auto"/>
        <w:tabs>
          <w:tab w:leader="none" w:pos="1061"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nomination, a representation that such shareholder intends to deliver a proxy statement and/or form of proxy to holders of at least 67% of the voting power of our outstanding capital stock entitled to vote in the election of directors; and</w:t>
      </w:r>
    </w:p>
    <w:p>
      <w:pPr>
        <w:spacing w:after="0" w:line="116" w:lineRule="exact"/>
        <w:rPr>
          <w:rFonts w:ascii="Times New Roman" w:cs="Times New Roman" w:eastAsia="Times New Roman" w:hAnsi="Times New Roman"/>
          <w:sz w:val="17"/>
          <w:szCs w:val="17"/>
          <w:color w:val="auto"/>
        </w:rPr>
      </w:pPr>
    </w:p>
    <w:p>
      <w:pPr>
        <w:ind w:left="1000" w:hanging="242"/>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nomination, all other information required under Rule 14a-19 under the Exchange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Exclusive Forum Provision of our By-Laws</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the sole and exclusive forum for certain actions shall be the Seventh Judicial Circuit Court in and for Volusia County, Florida (or, if no state court located within the State of Florida has jurisdiction, the federal district court for the Middle District of Florida). Those actions include: (i) any derivative action or proceeding brought on behalf of us, (ii) any proceeding asserting a claim of breach of fiduciary duty owed by any of our directors or our officers or other employees to us or our shareholders, (iii) any proceeding arising pursuant to any provision of the FBCA or the Articles of Incorporation or By-Laws (as either may be amended from time to time) or (iv) any proceeding asserting a claim against us or any of our directors, officers or other employees governed by the internal affairs doctrine. Subject to the preceding provisions, the federal district courts of the United States of America shall be the exclusive forum for the resolution of any complaint asserting a cause or causes of action arising under the Securities Act, including all causes of action asserted against any defendant to such complaint.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Amendments to By-Laws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By-Laws may be amended or repealed and additional By-Laws added or adopted by the Board unless, except as provided in the FBCA, the shareholders, in amending, repealing, or adopting the By-Laws generally or a particular By-Law provision, expressly provide that the Board may not amend, repeal, adopt, or reinstate the By-Laws generally or that particular By-Law provision. Our By-Laws may be amended or repealed at any meeting of shareholders by a vote of the majority of our issued and outstanding shares of our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Amendment of the Articles of Incorporation</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Our Articles of Incorporation and our By-Laws provide that the Articles of Incorporation may be amended in the manner provided by law. Our Board may adopt one or more amendments to the Articles of Incorporation without shareholder action to the extent expressly permitted by the FBCA. With respect to any amendment to the Articles of Incorporation requiring shareholder approval under the FBCA, every amendment shall be approved by our Board, proposed by them to our shareholders, and approved at a shareholders meeting by a majority of the shares entitled to vote thereon, unless all directors and all shareholders sign a written statement manifesting their intention that a certain amendment of our Articles of Incorporation be made.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505460</wp:posOffset>
            </wp:positionV>
            <wp:extent cx="718566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153" w:right="319" w:bottom="1440" w:gutter="0" w:footer="0" w:header="0"/>
        </w:sectPr>
      </w:pPr>
    </w:p>
    <w:bookmarkStart w:id="43" w:name="page44"/>
    <w:bookmarkEnd w:id="43"/>
    <w:p>
      <w:pPr>
        <w:spacing w:after="0"/>
        <w:rPr>
          <w:sz w:val="20"/>
          <w:szCs w:val="20"/>
          <w:color w:val="auto"/>
        </w:rPr>
      </w:pPr>
      <w:r>
        <w:rPr>
          <w:rFonts w:ascii="Arial" w:cs="Arial" w:eastAsia="Arial" w:hAnsi="Arial"/>
          <w:sz w:val="11"/>
          <w:szCs w:val="11"/>
          <w:color w:val="002776"/>
        </w:rPr>
        <w:drawing>
          <wp:anchor simplePos="0" relativeHeight="251657728" behindDoc="1" locked="0" layoutInCell="0" allowOverlap="1">
            <wp:simplePos x="0" y="0"/>
            <wp:positionH relativeFrom="page">
              <wp:posOffset>194310</wp:posOffset>
            </wp:positionH>
            <wp:positionV relativeFrom="page">
              <wp:posOffset>513080</wp:posOffset>
            </wp:positionV>
            <wp:extent cx="1641475" cy="2190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641475" cy="219075"/>
                    </a:xfrm>
                    <a:prstGeom prst="rect">
                      <a:avLst/>
                    </a:prstGeom>
                    <a:noFill/>
                  </pic:spPr>
                </pic:pic>
              </a:graphicData>
            </a:graphic>
          </wp:anchor>
        </w:drawing>
        <w:t>200 South Orange Avenue, Suite 2600 | Orlando, Florida 32801 | T +1.407.425.8500 | F +1.407.244.5288</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002776"/>
        </w:rPr>
        <w:t>Holland &amp; Knight LLP | www.hklaw.com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7, 2026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Brown &amp; Brown, Inc.</w:t>
      </w:r>
    </w:p>
    <w:p>
      <w:pPr>
        <w:spacing w:after="0" w:line="237" w:lineRule="auto"/>
        <w:rPr>
          <w:sz w:val="20"/>
          <w:szCs w:val="20"/>
          <w:color w:val="auto"/>
        </w:rPr>
      </w:pPr>
      <w:r>
        <w:rPr>
          <w:rFonts w:ascii="Times New Roman" w:cs="Times New Roman" w:eastAsia="Times New Roman" w:hAnsi="Times New Roman"/>
          <w:sz w:val="17"/>
          <w:szCs w:val="17"/>
          <w:color w:val="auto"/>
        </w:rPr>
        <w:t>300 North Beach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Daytona Beach, Florida 32114</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Re: Brown &amp; Brown, Inc. - Registration Statement on Form S-3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We have acted as special counsel to Brown &amp; Brown, Inc., a Florida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with respect to the preparation of the shelf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S-3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filed on or about the date hereof with the Securities and Exchange Commission (the</w:t>
      </w:r>
    </w:p>
    <w:p>
      <w:pPr>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in connection with the registration by the Company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of the offer and sale by</w:t>
      </w:r>
    </w:p>
    <w:p>
      <w:pPr>
        <w:spacing w:after="0"/>
        <w:rPr>
          <w:sz w:val="20"/>
          <w:szCs w:val="20"/>
          <w:color w:val="auto"/>
        </w:rPr>
      </w:pPr>
      <w:r>
        <w:rPr>
          <w:rFonts w:ascii="Times New Roman" w:cs="Times New Roman" w:eastAsia="Times New Roman" w:hAnsi="Times New Roman"/>
          <w:sz w:val="17"/>
          <w:szCs w:val="17"/>
          <w:color w:val="auto"/>
        </w:rPr>
        <w:t>the Company, pursuant to Rule 415 under the Securities Act, of the following securities, which may be issued from time to time at prices and on terms to be</w:t>
      </w:r>
    </w:p>
    <w:p>
      <w:pPr>
        <w:spacing w:after="0"/>
        <w:rPr>
          <w:sz w:val="20"/>
          <w:szCs w:val="20"/>
          <w:color w:val="auto"/>
        </w:rPr>
      </w:pPr>
      <w:r>
        <w:rPr>
          <w:rFonts w:ascii="Times New Roman" w:cs="Times New Roman" w:eastAsia="Times New Roman" w:hAnsi="Times New Roman"/>
          <w:sz w:val="17"/>
          <w:szCs w:val="17"/>
          <w:color w:val="auto"/>
        </w:rPr>
        <w:t>determined at the time of the offering:</w:t>
      </w:r>
    </w:p>
    <w:p>
      <w:pPr>
        <w:spacing w:after="0" w:line="153" w:lineRule="exact"/>
        <w:rPr>
          <w:sz w:val="20"/>
          <w:szCs w:val="20"/>
          <w:color w:val="auto"/>
        </w:rPr>
      </w:pPr>
    </w:p>
    <w:p>
      <w:pPr>
        <w:ind w:left="1860" w:hanging="350"/>
        <w:spacing w:after="0"/>
        <w:tabs>
          <w:tab w:leader="none" w:pos="18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securities of the Company, which may be issued in one or more series (“</w:t>
      </w:r>
      <w:r>
        <w:rPr>
          <w:rFonts w:ascii="Times New Roman" w:cs="Times New Roman" w:eastAsia="Times New Roman" w:hAnsi="Times New Roman"/>
          <w:sz w:val="17"/>
          <w:szCs w:val="17"/>
          <w:u w:val="single" w:color="auto"/>
          <w:color w:val="auto"/>
        </w:rPr>
        <w:t>Debt Securities</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par value $0.10 per share, of the Company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for the purchase of Debt Securities or Common Stock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760" w:firstLine="750"/>
        <w:spacing w:after="0" w:line="272" w:lineRule="auto"/>
        <w:tabs>
          <w:tab w:leader="none" w:pos="185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(the “</w:t>
      </w:r>
      <w:r>
        <w:rPr>
          <w:rFonts w:ascii="Times New Roman" w:cs="Times New Roman" w:eastAsia="Times New Roman" w:hAnsi="Times New Roman"/>
          <w:sz w:val="17"/>
          <w:szCs w:val="17"/>
          <w:u w:val="single" w:color="auto"/>
          <w:color w:val="auto"/>
        </w:rPr>
        <w:t>Units</w:t>
      </w:r>
      <w:r>
        <w:rPr>
          <w:rFonts w:ascii="Times New Roman" w:cs="Times New Roman" w:eastAsia="Times New Roman" w:hAnsi="Times New Roman"/>
          <w:sz w:val="17"/>
          <w:szCs w:val="17"/>
          <w:color w:val="auto"/>
        </w:rPr>
        <w:t>” and, together with Debt Securities, Common Stock and Warrants,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consisting of two or more of the types of Securities described above.</w:t>
      </w:r>
    </w:p>
    <w:p>
      <w:pPr>
        <w:spacing w:after="0" w:line="116"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indeterminate amount of Securities as may be issued in exchange for or upon conversion or exercise of, as the case may be,</w:t>
      </w:r>
    </w:p>
    <w:p>
      <w:pPr>
        <w:spacing w:after="0" w:line="16"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We have also participated in the preparation of the Prospectus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contained in the Registration Statement.</w:t>
      </w:r>
    </w:p>
    <w:p>
      <w:pPr>
        <w:spacing w:after="0" w:line="171" w:lineRule="exact"/>
        <w:rPr>
          <w:sz w:val="20"/>
          <w:szCs w:val="20"/>
          <w:color w:val="auto"/>
        </w:rPr>
      </w:pPr>
    </w:p>
    <w:p>
      <w:pPr>
        <w:ind w:right="60" w:firstLine="752"/>
        <w:spacing w:after="0" w:line="272" w:lineRule="auto"/>
        <w:rPr>
          <w:sz w:val="20"/>
          <w:szCs w:val="20"/>
          <w:color w:val="auto"/>
        </w:rPr>
      </w:pPr>
      <w:r>
        <w:rPr>
          <w:rFonts w:ascii="Times New Roman" w:cs="Times New Roman" w:eastAsia="Times New Roman" w:hAnsi="Times New Roman"/>
          <w:sz w:val="17"/>
          <w:szCs w:val="17"/>
          <w:color w:val="auto"/>
        </w:rPr>
        <w:t>In connection with the opinions expressed herein, we have examined, among other things, original counterparts or copies of original counterparts of the following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786130</wp:posOffset>
            </wp:positionV>
            <wp:extent cx="718566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13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color w:val="auto"/>
        </w:rPr>
        <w:t>Brown &amp; Brown,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7, 2026</w:t>
      </w: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2190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19075" cy="6985"/>
                    </a:xfrm>
                    <a:prstGeom prst="rect">
                      <a:avLst/>
                    </a:prstGeom>
                    <a:noFill/>
                  </pic:spPr>
                </pic:pic>
              </a:graphicData>
            </a:graphic>
          </wp:anchor>
        </w:drawing>
      </w:r>
    </w:p>
    <w:p>
      <w:pPr>
        <w:spacing w:after="0" w:line="348" w:lineRule="exact"/>
        <w:rPr>
          <w:sz w:val="20"/>
          <w:szCs w:val="20"/>
          <w:color w:val="auto"/>
        </w:rPr>
      </w:pPr>
    </w:p>
    <w:p>
      <w:pPr>
        <w:ind w:left="1860" w:hanging="350"/>
        <w:spacing w:after="0"/>
        <w:tabs>
          <w:tab w:leader="none" w:pos="18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Amended and Restated Articles of Incorporation of the Company (the “</w:t>
      </w:r>
      <w:r>
        <w:rPr>
          <w:rFonts w:ascii="Times New Roman" w:cs="Times New Roman" w:eastAsia="Times New Roman" w:hAnsi="Times New Roman"/>
          <w:sz w:val="17"/>
          <w:szCs w:val="17"/>
          <w:u w:val="single" w:color="auto"/>
          <w:color w:val="auto"/>
        </w:rPr>
        <w:t>Articles of Incorporation</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Amended and Restated By-Laws of the Company (the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including the Prospectus.</w:t>
      </w:r>
    </w:p>
    <w:p>
      <w:pPr>
        <w:spacing w:after="0" w:line="170" w:lineRule="exact"/>
        <w:rPr>
          <w:rFonts w:ascii="Times New Roman" w:cs="Times New Roman" w:eastAsia="Times New Roman" w:hAnsi="Times New Roman"/>
          <w:sz w:val="17"/>
          <w:szCs w:val="17"/>
          <w:color w:val="auto"/>
        </w:rPr>
      </w:pPr>
    </w:p>
    <w:p>
      <w:pPr>
        <w:ind w:left="760" w:right="600" w:firstLine="750"/>
        <w:spacing w:after="0" w:line="272" w:lineRule="auto"/>
        <w:tabs>
          <w:tab w:leader="none" w:pos="185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Indenture, dated as of September 18, 2014, between the Company and U.S. Bank Trust Company, National Association (as successor to U.S. Bank National Association) (the “</w:t>
      </w:r>
      <w:r>
        <w:rPr>
          <w:rFonts w:ascii="Times New Roman" w:cs="Times New Roman" w:eastAsia="Times New Roman" w:hAnsi="Times New Roman"/>
          <w:sz w:val="17"/>
          <w:szCs w:val="17"/>
          <w:u w:val="single" w:color="auto"/>
          <w:color w:val="auto"/>
        </w:rPr>
        <w:t>Existing Indenture</w:t>
      </w:r>
      <w:r>
        <w:rPr>
          <w:rFonts w:ascii="Times New Roman" w:cs="Times New Roman" w:eastAsia="Times New Roman" w:hAnsi="Times New Roman"/>
          <w:sz w:val="17"/>
          <w:szCs w:val="17"/>
          <w:color w:val="auto"/>
        </w:rPr>
        <w:t>”).</w:t>
      </w:r>
    </w:p>
    <w:p>
      <w:pPr>
        <w:spacing w:after="0" w:line="116"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records of corporate proceedings of the Company that have occurred prior to the date hereof with respect to the Registration</w:t>
      </w:r>
    </w:p>
    <w:p>
      <w:pPr>
        <w:spacing w:after="0" w:line="16"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Statement.</w:t>
      </w:r>
    </w:p>
    <w:p>
      <w:pPr>
        <w:spacing w:after="0" w:line="153" w:lineRule="exact"/>
        <w:rPr>
          <w:sz w:val="20"/>
          <w:szCs w:val="20"/>
          <w:color w:val="auto"/>
        </w:rPr>
      </w:pPr>
    </w:p>
    <w:p>
      <w:pPr>
        <w:ind w:right="80" w:firstLine="752"/>
        <w:spacing w:after="0" w:line="244" w:lineRule="auto"/>
        <w:rPr>
          <w:sz w:val="20"/>
          <w:szCs w:val="20"/>
          <w:color w:val="auto"/>
        </w:rPr>
      </w:pPr>
      <w:r>
        <w:rPr>
          <w:rFonts w:ascii="Times New Roman" w:cs="Times New Roman" w:eastAsia="Times New Roman" w:hAnsi="Times New Roman"/>
          <w:sz w:val="17"/>
          <w:szCs w:val="17"/>
          <w:color w:val="auto"/>
        </w:rPr>
        <w:t>The Existing Indenture and, if applicable, any supplemental indenture (together with the Existing Indenture,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any warrant agreement relating to the Warrants (a “</w:t>
      </w:r>
      <w:r>
        <w:rPr>
          <w:rFonts w:ascii="Times New Roman" w:cs="Times New Roman" w:eastAsia="Times New Roman" w:hAnsi="Times New Roman"/>
          <w:sz w:val="17"/>
          <w:szCs w:val="17"/>
          <w:u w:val="single" w:color="auto"/>
          <w:color w:val="auto"/>
        </w:rPr>
        <w:t>Warrant Agreement</w:t>
      </w:r>
      <w:r>
        <w:rPr>
          <w:rFonts w:ascii="Times New Roman" w:cs="Times New Roman" w:eastAsia="Times New Roman" w:hAnsi="Times New Roman"/>
          <w:sz w:val="17"/>
          <w:szCs w:val="17"/>
          <w:color w:val="auto"/>
        </w:rPr>
        <w:t>”), any agreement relating to the Units (a “</w:t>
      </w:r>
      <w:r>
        <w:rPr>
          <w:rFonts w:ascii="Times New Roman" w:cs="Times New Roman" w:eastAsia="Times New Roman" w:hAnsi="Times New Roman"/>
          <w:sz w:val="17"/>
          <w:szCs w:val="17"/>
          <w:u w:val="single" w:color="auto"/>
          <w:color w:val="auto"/>
        </w:rPr>
        <w:t>Unit Agreement</w:t>
      </w:r>
      <w:r>
        <w:rPr>
          <w:rFonts w:ascii="Times New Roman" w:cs="Times New Roman" w:eastAsia="Times New Roman" w:hAnsi="Times New Roman"/>
          <w:sz w:val="17"/>
          <w:szCs w:val="17"/>
          <w:color w:val="auto"/>
        </w:rPr>
        <w:t>”) and any definitive purchase, underwriting or similar agreement entered into in connection with an issuance of Securities (a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are referred to collectively herein as the “</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We have also examined originals or copies of such other records of the Company, certificates of public officials and of officers or other representatives of the Company and agreements and other documents as we have deemed necessary, subject to the assumptions set forth below, as a basis for the opinions expressed below.</w:t>
      </w:r>
    </w:p>
    <w:p>
      <w:pPr>
        <w:spacing w:after="0" w:line="143" w:lineRule="exact"/>
        <w:rPr>
          <w:sz w:val="20"/>
          <w:szCs w:val="20"/>
          <w:color w:val="auto"/>
        </w:rPr>
      </w:pPr>
    </w:p>
    <w:p>
      <w:pPr>
        <w:ind w:firstLine="752"/>
        <w:spacing w:after="0"/>
        <w:rPr>
          <w:sz w:val="20"/>
          <w:szCs w:val="20"/>
          <w:color w:val="auto"/>
        </w:rPr>
      </w:pPr>
      <w:r>
        <w:rPr>
          <w:rFonts w:ascii="Times New Roman" w:cs="Times New Roman" w:eastAsia="Times New Roman" w:hAnsi="Times New Roman"/>
          <w:sz w:val="17"/>
          <w:szCs w:val="17"/>
          <w:color w:val="auto"/>
        </w:rPr>
        <w:t>In rendering the opinions expressed below, we have assumed: (i) the genuineness of all signatures (whether manual, electronic or otherwise) and, to the extent that a signature on a document is manifested by electronic or similar means, such signature has been executed or adopted by a signatory with an intent to authenticate and sign the document; (ii) the authenticity of the originals of the documents submitted to us; (iii) the conformity to authentic originals of any documents submitted to us as copies; (iv) as to matters of fact, the truthfulness of the representations made or otherwise incorporated in the Registration Statement and the other Transaction Documents and representations and statements made in certificates or web sites of public officials and officers or other representatives of the Company; (v) that, at the time when any Security is issued: (1) if such Security is a Debt Security, the Indenture; (2) if such Security is a Warrant, a Warrant Agreement; (3) if such Security is a Unit, a Unit Agreement; and (4) any applicable Purchase Agreement, shall have been duly executed and delivered by the parties thereto and constitute valid, binding and enforceable obligations of each party thereto (other than the Company) and such Security shall have been issued pursuant to the applicable foregoing agreements; (vi) the Company shall be an entity duly organized and validly existing under the laws of the State of Florida;</w:t>
      </w:r>
    </w:p>
    <w:p>
      <w:pPr>
        <w:spacing w:after="0" w:line="3" w:lineRule="exact"/>
        <w:rPr>
          <w:sz w:val="20"/>
          <w:szCs w:val="20"/>
          <w:color w:val="auto"/>
        </w:rPr>
      </w:pPr>
    </w:p>
    <w:p>
      <w:pPr>
        <w:ind w:right="380" w:firstLine="6"/>
        <w:spacing w:after="0" w:line="244" w:lineRule="auto"/>
        <w:tabs>
          <w:tab w:leader="none" w:pos="3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full power to execute, deliver and perform the applicable Transaction Documents and issue such Security, and shall have duly executed and delivered such applicable Transaction Documents; (viii) the execution, delivery and performance by the Company of the applicable Transaction Documents and the issuance of such Security (and, in the case of Units, of the Securities that are components of such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800100</wp:posOffset>
            </wp:positionV>
            <wp:extent cx="718566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74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Brown &amp; Brown,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7, 2026</w:t>
      </w: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21907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19075" cy="698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Security that may be issuable upon the exercise, conversion or exchange thereof, shall have been duly authorized by all necessary corporate action and shall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contravene its Articles of Incorporation or By-Laws; (ix) the execution, delivery and performance by the Company of the applicable Transaction Documents</w:t>
      </w:r>
    </w:p>
    <w:p>
      <w:pPr>
        <w:spacing w:after="0" w:line="237" w:lineRule="auto"/>
        <w:rPr>
          <w:sz w:val="20"/>
          <w:szCs w:val="20"/>
          <w:color w:val="auto"/>
        </w:rPr>
      </w:pPr>
      <w:r>
        <w:rPr>
          <w:rFonts w:ascii="Times New Roman" w:cs="Times New Roman" w:eastAsia="Times New Roman" w:hAnsi="Times New Roman"/>
          <w:sz w:val="17"/>
          <w:szCs w:val="17"/>
          <w:color w:val="auto"/>
        </w:rPr>
        <w:t>and the issuance of such Security will not: (1) except for Applicable Laws, as defined below, as in effect on the date hereof, violate any law, rule or regulation</w:t>
      </w:r>
    </w:p>
    <w:p>
      <w:pPr>
        <w:spacing w:after="0"/>
        <w:rPr>
          <w:sz w:val="20"/>
          <w:szCs w:val="20"/>
          <w:color w:val="auto"/>
        </w:rPr>
      </w:pPr>
      <w:r>
        <w:rPr>
          <w:rFonts w:ascii="Times New Roman" w:cs="Times New Roman" w:eastAsia="Times New Roman" w:hAnsi="Times New Roman"/>
          <w:sz w:val="17"/>
          <w:szCs w:val="17"/>
          <w:color w:val="auto"/>
        </w:rPr>
        <w:t>applicable to it (including without limitation federal and state securities laws), or (2) result in any conflict with or breach of any agreement or document binding on</w:t>
      </w:r>
    </w:p>
    <w:p>
      <w:pPr>
        <w:spacing w:after="0" w:line="237" w:lineRule="auto"/>
        <w:rPr>
          <w:sz w:val="20"/>
          <w:szCs w:val="20"/>
          <w:color w:val="auto"/>
        </w:rPr>
      </w:pPr>
      <w:r>
        <w:rPr>
          <w:rFonts w:ascii="Times New Roman" w:cs="Times New Roman" w:eastAsia="Times New Roman" w:hAnsi="Times New Roman"/>
          <w:sz w:val="17"/>
          <w:szCs w:val="17"/>
          <w:color w:val="auto"/>
        </w:rPr>
        <w:t>it; (x) no authorization, approval or other action by, and no notice to or filing with, any governmental authority or regulatory body (or, to the extent the same is</w:t>
      </w:r>
    </w:p>
    <w:p>
      <w:pPr>
        <w:spacing w:after="0"/>
        <w:rPr>
          <w:sz w:val="20"/>
          <w:szCs w:val="20"/>
          <w:color w:val="auto"/>
        </w:rPr>
      </w:pPr>
      <w:r>
        <w:rPr>
          <w:rFonts w:ascii="Times New Roman" w:cs="Times New Roman" w:eastAsia="Times New Roman" w:hAnsi="Times New Roman"/>
          <w:sz w:val="17"/>
          <w:szCs w:val="17"/>
          <w:color w:val="auto"/>
        </w:rPr>
        <w:t>required under any agreement or document binding on the Company, any third party) shall be required for the due execution, delivery or performance by the</w:t>
      </w:r>
    </w:p>
    <w:p>
      <w:pPr>
        <w:spacing w:after="0" w:line="237" w:lineRule="auto"/>
        <w:rPr>
          <w:sz w:val="20"/>
          <w:szCs w:val="20"/>
          <w:color w:val="auto"/>
        </w:rPr>
      </w:pPr>
      <w:r>
        <w:rPr>
          <w:rFonts w:ascii="Times New Roman" w:cs="Times New Roman" w:eastAsia="Times New Roman" w:hAnsi="Times New Roman"/>
          <w:sz w:val="17"/>
          <w:szCs w:val="17"/>
          <w:color w:val="auto"/>
        </w:rPr>
        <w:t>Company of any applicable Transaction Document or for the issuance of such Security by the Company, or, if any such authorization, approval, action, notice or</w:t>
      </w:r>
    </w:p>
    <w:p>
      <w:pPr>
        <w:spacing w:after="0"/>
        <w:rPr>
          <w:sz w:val="20"/>
          <w:szCs w:val="20"/>
          <w:color w:val="auto"/>
        </w:rPr>
      </w:pPr>
      <w:r>
        <w:rPr>
          <w:rFonts w:ascii="Times New Roman" w:cs="Times New Roman" w:eastAsia="Times New Roman" w:hAnsi="Times New Roman"/>
          <w:sz w:val="17"/>
          <w:szCs w:val="17"/>
          <w:color w:val="auto"/>
        </w:rPr>
        <w:t>filing is required, it shall have been duly obtained, taken, given or made and shall be in full force and effect; (xi) the Registration Statement, and any amendments</w:t>
      </w:r>
    </w:p>
    <w:p>
      <w:pPr>
        <w:spacing w:after="0" w:line="237" w:lineRule="auto"/>
        <w:rPr>
          <w:sz w:val="20"/>
          <w:szCs w:val="20"/>
          <w:color w:val="auto"/>
        </w:rPr>
      </w:pPr>
      <w:r>
        <w:rPr>
          <w:rFonts w:ascii="Times New Roman" w:cs="Times New Roman" w:eastAsia="Times New Roman" w:hAnsi="Times New Roman"/>
          <w:sz w:val="17"/>
          <w:szCs w:val="17"/>
          <w:color w:val="auto"/>
        </w:rPr>
        <w:t>thereto (including all necessary post-effective amendments), shall have become effective under the Securities Act; (xii) a supplement to the Prospectus (a</w:t>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Prospectus Supplement</w:t>
      </w:r>
      <w:r>
        <w:rPr>
          <w:rFonts w:ascii="Times New Roman" w:cs="Times New Roman" w:eastAsia="Times New Roman" w:hAnsi="Times New Roman"/>
          <w:sz w:val="17"/>
          <w:szCs w:val="17"/>
          <w:color w:val="auto"/>
        </w:rPr>
        <w:t>”) shall have been prepared and filed with the Commission describing such Security; (xiii) such Security shall have been issued and sold in</w:t>
      </w:r>
    </w:p>
    <w:p>
      <w:pPr>
        <w:spacing w:after="0" w:line="237" w:lineRule="auto"/>
        <w:rPr>
          <w:sz w:val="20"/>
          <w:szCs w:val="20"/>
          <w:color w:val="auto"/>
        </w:rPr>
      </w:pPr>
      <w:r>
        <w:rPr>
          <w:rFonts w:ascii="Times New Roman" w:cs="Times New Roman" w:eastAsia="Times New Roman" w:hAnsi="Times New Roman"/>
          <w:sz w:val="17"/>
          <w:szCs w:val="17"/>
          <w:color w:val="auto"/>
        </w:rPr>
        <w:t>the manner stated in the Registration Statement and the appropriate Prospectus Supplement; (xiv) if such Security is Common Stock, the necessary number of</w:t>
      </w:r>
    </w:p>
    <w:p>
      <w:pPr>
        <w:spacing w:after="0"/>
        <w:rPr>
          <w:sz w:val="20"/>
          <w:szCs w:val="20"/>
          <w:color w:val="auto"/>
        </w:rPr>
      </w:pPr>
      <w:r>
        <w:rPr>
          <w:rFonts w:ascii="Times New Roman" w:cs="Times New Roman" w:eastAsia="Times New Roman" w:hAnsi="Times New Roman"/>
          <w:sz w:val="17"/>
          <w:szCs w:val="17"/>
          <w:color w:val="auto"/>
        </w:rPr>
        <w:t>shares shall have been duly authorized and available for issuance pursuant to the Articles of Incorporation; (xv) any Security issuable upon conversion, exchange</w:t>
      </w:r>
    </w:p>
    <w:p>
      <w:pPr>
        <w:spacing w:after="0" w:line="237" w:lineRule="auto"/>
        <w:rPr>
          <w:sz w:val="20"/>
          <w:szCs w:val="20"/>
          <w:color w:val="auto"/>
        </w:rPr>
      </w:pPr>
      <w:r>
        <w:rPr>
          <w:rFonts w:ascii="Times New Roman" w:cs="Times New Roman" w:eastAsia="Times New Roman" w:hAnsi="Times New Roman"/>
          <w:sz w:val="17"/>
          <w:szCs w:val="17"/>
          <w:color w:val="auto"/>
        </w:rPr>
        <w:t>or exercise of such Security shall have been duly authorized, created and, if appropriate, reserved for issuance upon such conversion, exchange or exercise; (xvi)</w:t>
      </w:r>
    </w:p>
    <w:p>
      <w:pPr>
        <w:spacing w:after="0"/>
        <w:rPr>
          <w:sz w:val="20"/>
          <w:szCs w:val="20"/>
          <w:color w:val="auto"/>
        </w:rPr>
      </w:pPr>
      <w:r>
        <w:rPr>
          <w:rFonts w:ascii="Times New Roman" w:cs="Times New Roman" w:eastAsia="Times New Roman" w:hAnsi="Times New Roman"/>
          <w:sz w:val="17"/>
          <w:szCs w:val="17"/>
          <w:color w:val="auto"/>
        </w:rPr>
        <w:t>the applicable Transaction Documents relating to such Security and, if such Security is a Debt Security, Warrant or Unit, such Security shall be governed by the</w:t>
      </w:r>
    </w:p>
    <w:p>
      <w:pPr>
        <w:spacing w:after="0" w:line="237" w:lineRule="auto"/>
        <w:rPr>
          <w:sz w:val="20"/>
          <w:szCs w:val="20"/>
          <w:color w:val="auto"/>
        </w:rPr>
      </w:pPr>
      <w:r>
        <w:rPr>
          <w:rFonts w:ascii="Times New Roman" w:cs="Times New Roman" w:eastAsia="Times New Roman" w:hAnsi="Times New Roman"/>
          <w:sz w:val="17"/>
          <w:szCs w:val="17"/>
          <w:color w:val="auto"/>
        </w:rPr>
        <w:t>laws of the State of New York, a New York State court, or a United States federal court sitting in the State of New York, would determine that Section 5-1401 of</w:t>
      </w:r>
    </w:p>
    <w:p>
      <w:pPr>
        <w:spacing w:after="0"/>
        <w:rPr>
          <w:sz w:val="20"/>
          <w:szCs w:val="20"/>
          <w:color w:val="auto"/>
        </w:rPr>
      </w:pPr>
      <w:r>
        <w:rPr>
          <w:rFonts w:ascii="Times New Roman" w:cs="Times New Roman" w:eastAsia="Times New Roman" w:hAnsi="Times New Roman"/>
          <w:sz w:val="17"/>
          <w:szCs w:val="17"/>
          <w:color w:val="auto"/>
        </w:rPr>
        <w:t>the New York General Obligations Law is applicable to the choice of New York law to govern such Transaction Documents and the issuance of such Security</w:t>
      </w:r>
    </w:p>
    <w:p>
      <w:pPr>
        <w:spacing w:after="0" w:line="237" w:lineRule="auto"/>
        <w:rPr>
          <w:sz w:val="20"/>
          <w:szCs w:val="20"/>
          <w:color w:val="auto"/>
        </w:rPr>
      </w:pPr>
      <w:r>
        <w:rPr>
          <w:rFonts w:ascii="Times New Roman" w:cs="Times New Roman" w:eastAsia="Times New Roman" w:hAnsi="Times New Roman"/>
          <w:sz w:val="17"/>
          <w:szCs w:val="17"/>
          <w:color w:val="auto"/>
        </w:rPr>
        <w:t>would involve at least the minimum amounts specified in such Section for it to be applicable; (xvii) such Security, if other than Common Stock, and if other than</w:t>
      </w:r>
    </w:p>
    <w:p>
      <w:pPr>
        <w:spacing w:after="0"/>
        <w:rPr>
          <w:sz w:val="20"/>
          <w:szCs w:val="20"/>
          <w:color w:val="auto"/>
        </w:rPr>
      </w:pPr>
      <w:r>
        <w:rPr>
          <w:rFonts w:ascii="Times New Roman" w:cs="Times New Roman" w:eastAsia="Times New Roman" w:hAnsi="Times New Roman"/>
          <w:sz w:val="17"/>
          <w:szCs w:val="17"/>
          <w:color w:val="auto"/>
        </w:rPr>
        <w:t>book entry or uncertificated, shall have been duly executed and delivered by the Company and, if applicable, duly authenticated or countersigned pursuant to the</w:t>
      </w:r>
    </w:p>
    <w:p>
      <w:pPr>
        <w:spacing w:after="0" w:line="237" w:lineRule="auto"/>
        <w:rPr>
          <w:sz w:val="20"/>
          <w:szCs w:val="20"/>
          <w:color w:val="auto"/>
        </w:rPr>
      </w:pPr>
      <w:r>
        <w:rPr>
          <w:rFonts w:ascii="Times New Roman" w:cs="Times New Roman" w:eastAsia="Times New Roman" w:hAnsi="Times New Roman"/>
          <w:sz w:val="17"/>
          <w:szCs w:val="17"/>
          <w:color w:val="auto"/>
        </w:rPr>
        <w:t>applicable Transaction Document; (xviii) if such Security is other than Common Stock, the terms of such Security (and any Securities that are components thereof</w:t>
      </w:r>
    </w:p>
    <w:p>
      <w:pPr>
        <w:spacing w:after="0"/>
        <w:rPr>
          <w:sz w:val="20"/>
          <w:szCs w:val="20"/>
          <w:color w:val="auto"/>
        </w:rPr>
      </w:pPr>
      <w:r>
        <w:rPr>
          <w:rFonts w:ascii="Times New Roman" w:cs="Times New Roman" w:eastAsia="Times New Roman" w:hAnsi="Times New Roman"/>
          <w:sz w:val="17"/>
          <w:szCs w:val="17"/>
          <w:color w:val="auto"/>
        </w:rPr>
        <w:t>or issuable upon the exercise, conversion or exchange thereof) shall have been duly established in conformity with the applicable Transaction Document; (xix) the</w:t>
      </w:r>
    </w:p>
    <w:p>
      <w:pPr>
        <w:spacing w:after="0" w:line="237" w:lineRule="auto"/>
        <w:rPr>
          <w:sz w:val="20"/>
          <w:szCs w:val="20"/>
          <w:color w:val="auto"/>
        </w:rPr>
      </w:pPr>
      <w:r>
        <w:rPr>
          <w:rFonts w:ascii="Times New Roman" w:cs="Times New Roman" w:eastAsia="Times New Roman" w:hAnsi="Times New Roman"/>
          <w:sz w:val="17"/>
          <w:szCs w:val="17"/>
          <w:color w:val="auto"/>
        </w:rPr>
        <w:t>Company shall not have been induced by fraud to enter into any Transaction Document; (xx) the consideration paid for any Common Stock will comply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Florida Business Corporation Act, Sections 607.0621(2), (3) and (4) or any successor provision.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not independently established the validity of the foregoing assumptions.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Based upon the foregoing and subject to the qualifications and limitations set forth herein, we are of the opinion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819785</wp:posOffset>
            </wp:positionV>
            <wp:extent cx="718566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auto"/>
        </w:rPr>
        <w:t>Brown &amp; Brown,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7, 2026</w:t>
      </w:r>
    </w:p>
    <w:p>
      <w:pPr>
        <w:spacing w:after="0"/>
        <w:rPr>
          <w:sz w:val="20"/>
          <w:szCs w:val="20"/>
          <w:color w:val="auto"/>
        </w:rPr>
      </w:pPr>
      <w:r>
        <w:rPr>
          <w:rFonts w:ascii="Times New Roman" w:cs="Times New Roman" w:eastAsia="Times New Roman" w:hAnsi="Times New Roman"/>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21907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19075" cy="6985"/>
                    </a:xfrm>
                    <a:prstGeom prst="rect">
                      <a:avLst/>
                    </a:prstGeom>
                    <a:noFill/>
                  </pic:spPr>
                </pic:pic>
              </a:graphicData>
            </a:graphic>
          </wp:anchor>
        </w:drawing>
      </w:r>
    </w:p>
    <w:p>
      <w:pPr>
        <w:spacing w:after="0" w:line="348" w:lineRule="exact"/>
        <w:rPr>
          <w:sz w:val="20"/>
          <w:szCs w:val="20"/>
          <w:color w:val="auto"/>
        </w:rPr>
      </w:pPr>
    </w:p>
    <w:p>
      <w:pPr>
        <w:ind w:left="1100" w:hanging="342"/>
        <w:spacing w:after="0"/>
        <w:tabs>
          <w:tab w:leader="none" w:pos="11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Debt Security being registered under the Registration Statement, when:</w:t>
      </w:r>
    </w:p>
    <w:p>
      <w:pPr>
        <w:spacing w:after="0" w:line="170"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Indenture shall have been duly qualified under the Trust Indenture Act of 1939, as amended;</w:t>
      </w:r>
    </w:p>
    <w:p>
      <w:pPr>
        <w:spacing w:after="0" w:line="170"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consideration for such Debt Security provided for in the applicable Purchase Agreement shall have been paid; and</w:t>
      </w:r>
    </w:p>
    <w:p>
      <w:pPr>
        <w:spacing w:after="0" w:line="170"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such Debt Securities and of their issuance and sale shall have been duly established in conformity with the Indenture,</w:t>
      </w:r>
    </w:p>
    <w:p>
      <w:pPr>
        <w:spacing w:after="0" w:line="171" w:lineRule="exact"/>
        <w:rPr>
          <w:sz w:val="20"/>
          <w:szCs w:val="20"/>
          <w:color w:val="auto"/>
        </w:rPr>
      </w:pPr>
    </w:p>
    <w:p>
      <w:pPr>
        <w:ind w:right="640"/>
        <w:spacing w:after="0" w:line="272" w:lineRule="auto"/>
        <w:rPr>
          <w:sz w:val="20"/>
          <w:szCs w:val="20"/>
          <w:color w:val="auto"/>
        </w:rPr>
      </w:pPr>
      <w:r>
        <w:rPr>
          <w:rFonts w:ascii="Times New Roman" w:cs="Times New Roman" w:eastAsia="Times New Roman" w:hAnsi="Times New Roman"/>
          <w:sz w:val="17"/>
          <w:szCs w:val="17"/>
          <w:color w:val="auto"/>
        </w:rPr>
        <w:t>such Debt Security shall have been validly issued and shall constitute valid and binding obligations of the Company, enforceable against the Company in accordance with its terms.</w:t>
      </w:r>
    </w:p>
    <w:p>
      <w:pPr>
        <w:spacing w:after="0" w:line="117" w:lineRule="exact"/>
        <w:rPr>
          <w:sz w:val="20"/>
          <w:szCs w:val="20"/>
          <w:color w:val="auto"/>
        </w:rPr>
      </w:pPr>
    </w:p>
    <w:p>
      <w:pPr>
        <w:ind w:left="1100" w:hanging="342"/>
        <w:spacing w:after="0"/>
        <w:tabs>
          <w:tab w:leader="none" w:pos="11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share of Common Stock being registered under the Registration Statement, when:</w:t>
      </w:r>
    </w:p>
    <w:p>
      <w:pPr>
        <w:spacing w:after="0" w:line="170" w:lineRule="exact"/>
        <w:rPr>
          <w:rFonts w:ascii="Times New Roman" w:cs="Times New Roman" w:eastAsia="Times New Roman" w:hAnsi="Times New Roman"/>
          <w:sz w:val="17"/>
          <w:szCs w:val="17"/>
          <w:color w:val="auto"/>
        </w:rPr>
      </w:pPr>
    </w:p>
    <w:p>
      <w:pPr>
        <w:ind w:left="760" w:right="240" w:firstLine="750"/>
        <w:spacing w:after="0" w:line="249" w:lineRule="auto"/>
        <w:tabs>
          <w:tab w:leader="none" w:pos="185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representing such share shall have been duly executed, countersigned, registered and delivered (or, if such share is uncertificated, such share shall have been properly issued) either: (i) in accordance with the applicable Purchase Agreement or (ii) upon conversion, exchange or exercise of any other Security in accordance with the terms of such other Security or the agreement governing such other Security and providing for the conversion, exchange or exercise thereof, and</w:t>
      </w:r>
    </w:p>
    <w:p>
      <w:pPr>
        <w:spacing w:after="0" w:line="136" w:lineRule="exact"/>
        <w:rPr>
          <w:rFonts w:ascii="Times New Roman" w:cs="Times New Roman" w:eastAsia="Times New Roman" w:hAnsi="Times New Roman"/>
          <w:sz w:val="17"/>
          <w:szCs w:val="17"/>
          <w:color w:val="auto"/>
        </w:rPr>
      </w:pPr>
    </w:p>
    <w:p>
      <w:pPr>
        <w:ind w:left="760" w:right="420" w:firstLine="750"/>
        <w:spacing w:after="0" w:line="272" w:lineRule="auto"/>
        <w:tabs>
          <w:tab w:leader="none" w:pos="185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consideration therefor provided for in the applicable Purchase Agreement or in connection with such conversion, exchange or exercise, as applicable (in either case not less than the par value of such share of Common Stock), shall have been paid,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share shall have been validly issued, fully paid and nonassessable.</w:t>
      </w:r>
    </w:p>
    <w:p>
      <w:pPr>
        <w:spacing w:after="0" w:line="171" w:lineRule="exact"/>
        <w:rPr>
          <w:sz w:val="20"/>
          <w:szCs w:val="20"/>
          <w:color w:val="auto"/>
        </w:rPr>
      </w:pPr>
    </w:p>
    <w:p>
      <w:pPr>
        <w:ind w:left="1100" w:hanging="342"/>
        <w:spacing w:after="0"/>
        <w:tabs>
          <w:tab w:leader="none" w:pos="11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Warrant being registered under the Registration Statement, when:</w:t>
      </w:r>
    </w:p>
    <w:p>
      <w:pPr>
        <w:spacing w:after="0" w:line="170" w:lineRule="exact"/>
        <w:rPr>
          <w:rFonts w:ascii="Times New Roman" w:cs="Times New Roman" w:eastAsia="Times New Roman" w:hAnsi="Times New Roman"/>
          <w:sz w:val="17"/>
          <w:szCs w:val="17"/>
          <w:color w:val="auto"/>
        </w:rPr>
      </w:pPr>
    </w:p>
    <w:p>
      <w:pPr>
        <w:ind w:left="760" w:right="440" w:firstLine="750"/>
        <w:spacing w:after="0" w:line="272" w:lineRule="auto"/>
        <w:tabs>
          <w:tab w:leader="none" w:pos="185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such Warrant and of its issuance and sale shall have been duly established in conformity with the applicable Warrant Agreement and the applicable Purchase Agreement;</w:t>
      </w:r>
    </w:p>
    <w:p>
      <w:pPr>
        <w:spacing w:after="0" w:line="116"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consideration provided for in the applicable Purchase Agreement shall have been duly paid;</w:t>
      </w:r>
    </w:p>
    <w:p>
      <w:pPr>
        <w:spacing w:after="0" w:line="170" w:lineRule="exact"/>
        <w:rPr>
          <w:rFonts w:ascii="Times New Roman" w:cs="Times New Roman" w:eastAsia="Times New Roman" w:hAnsi="Times New Roman"/>
          <w:sz w:val="17"/>
          <w:szCs w:val="17"/>
          <w:color w:val="auto"/>
        </w:rPr>
      </w:pPr>
    </w:p>
    <w:p>
      <w:pPr>
        <w:ind w:left="760" w:firstLine="750"/>
        <w:spacing w:after="0" w:line="272" w:lineRule="auto"/>
        <w:tabs>
          <w:tab w:leader="none" w:pos="1856"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Warrant exercisable for Common Stock, the exercise price payable upon exercise thereof shall be at least equal to the aggregate par value of the Common Stock to be issued upon such exercise;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786130</wp:posOffset>
            </wp:positionV>
            <wp:extent cx="718566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00"/>
          </w:cols>
          <w:pgMar w:left="300" w:top="743"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color w:val="auto"/>
        </w:rPr>
        <w:t>Brown &amp; Brown,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7, 2026</w:t>
      </w:r>
    </w:p>
    <w:p>
      <w:pPr>
        <w:spacing w:after="0"/>
        <w:rPr>
          <w:sz w:val="20"/>
          <w:szCs w:val="20"/>
          <w:color w:val="auto"/>
        </w:rPr>
      </w:pPr>
      <w:r>
        <w:rPr>
          <w:rFonts w:ascii="Times New Roman" w:cs="Times New Roman" w:eastAsia="Times New Roman" w:hAnsi="Times New Roman"/>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21907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19075" cy="6985"/>
                    </a:xfrm>
                    <a:prstGeom prst="rect">
                      <a:avLst/>
                    </a:prstGeom>
                    <a:noFill/>
                  </pic:spPr>
                </pic:pic>
              </a:graphicData>
            </a:graphic>
          </wp:anchor>
        </w:drawing>
      </w:r>
    </w:p>
    <w:p>
      <w:pPr>
        <w:spacing w:after="0" w:line="348" w:lineRule="exact"/>
        <w:rPr>
          <w:sz w:val="20"/>
          <w:szCs w:val="20"/>
          <w:color w:val="auto"/>
        </w:rPr>
      </w:pPr>
    </w:p>
    <w:p>
      <w:pPr>
        <w:ind w:left="760" w:right="600" w:firstLine="750"/>
        <w:spacing w:after="0" w:line="255" w:lineRule="auto"/>
        <w:tabs>
          <w:tab w:leader="none" w:pos="185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Warrant shall have been duly executed, delivered, countersigned, issued and sold in accordance with the provisions of the applicable Warrant Agreement to be filed on a Current Report on Form 8-K in the manner contemplated in the Registration Statement or any amendment relating thereto,</w:t>
      </w:r>
    </w:p>
    <w:p>
      <w:pPr>
        <w:spacing w:after="0" w:line="13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such Warrant shall have been validly issued and shall constitute the valid and binding obligation of the Company, enforceable against the Company in accordance with its terms.</w:t>
      </w:r>
    </w:p>
    <w:p>
      <w:pPr>
        <w:spacing w:after="0" w:line="117" w:lineRule="exact"/>
        <w:rPr>
          <w:sz w:val="20"/>
          <w:szCs w:val="20"/>
          <w:color w:val="auto"/>
        </w:rPr>
      </w:pPr>
    </w:p>
    <w:p>
      <w:pPr>
        <w:ind w:left="1100" w:hanging="342"/>
        <w:spacing w:after="0"/>
        <w:tabs>
          <w:tab w:leader="none" w:pos="11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Unit being registered under the Registration Statement, when:</w:t>
      </w:r>
    </w:p>
    <w:p>
      <w:pPr>
        <w:spacing w:after="0" w:line="170"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such Unit and of its issuance and sale shall have been duly established in conformity with the applicable Unit Agreement;</w:t>
      </w:r>
    </w:p>
    <w:p>
      <w:pPr>
        <w:spacing w:after="0" w:line="170" w:lineRule="exact"/>
        <w:rPr>
          <w:rFonts w:ascii="Times New Roman" w:cs="Times New Roman" w:eastAsia="Times New Roman" w:hAnsi="Times New Roman"/>
          <w:sz w:val="17"/>
          <w:szCs w:val="17"/>
          <w:color w:val="auto"/>
        </w:rPr>
      </w:pPr>
    </w:p>
    <w:p>
      <w:pPr>
        <w:ind w:left="760" w:right="480" w:firstLine="750"/>
        <w:spacing w:after="0" w:line="272" w:lineRule="auto"/>
        <w:tabs>
          <w:tab w:leader="none" w:pos="185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consideration provided for in any applicable Purchase Agreement shall have been duly paid and, if Common Stock shall be a component of such Unit, shall be in an amount at least equal to the aggregate par value of the Common Stock that is a component of such Unit;</w:t>
      </w:r>
    </w:p>
    <w:p>
      <w:pPr>
        <w:spacing w:after="0" w:line="116" w:lineRule="exact"/>
        <w:rPr>
          <w:rFonts w:ascii="Times New Roman" w:cs="Times New Roman" w:eastAsia="Times New Roman" w:hAnsi="Times New Roman"/>
          <w:sz w:val="17"/>
          <w:szCs w:val="17"/>
          <w:color w:val="auto"/>
        </w:rPr>
      </w:pPr>
    </w:p>
    <w:p>
      <w:pPr>
        <w:ind w:left="1860" w:hanging="350"/>
        <w:spacing w:after="0"/>
        <w:tabs>
          <w:tab w:leader="none" w:pos="186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Debt Securities and/or Warrants, relating to such Units shall have been duly authorized for issuance; and</w:t>
      </w:r>
    </w:p>
    <w:p>
      <w:pPr>
        <w:spacing w:after="0" w:line="170" w:lineRule="exact"/>
        <w:rPr>
          <w:rFonts w:ascii="Times New Roman" w:cs="Times New Roman" w:eastAsia="Times New Roman" w:hAnsi="Times New Roman"/>
          <w:sz w:val="17"/>
          <w:szCs w:val="17"/>
          <w:color w:val="auto"/>
        </w:rPr>
      </w:pPr>
    </w:p>
    <w:p>
      <w:pPr>
        <w:ind w:left="760" w:right="40" w:firstLine="750"/>
        <w:spacing w:after="0" w:line="272" w:lineRule="auto"/>
        <w:tabs>
          <w:tab w:leader="none" w:pos="185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Units shall have been duly executed, delivered, countersigned, issued and sold in accordance with the provisions of the applicable Unit Agreement to be filed on a Current Report on Form 8-K in the manner contemplated in the Registration Statement,</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such Units, as applicable, shall have been validly issued and shall constitute the valid and binding obligation of the Company, enforceable against the Company in accordance with their terms.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opinions set forth above are subject to the following qualifications and exceptions:</w:t>
      </w:r>
    </w:p>
    <w:p>
      <w:pPr>
        <w:spacing w:after="0" w:line="171" w:lineRule="exact"/>
        <w:rPr>
          <w:sz w:val="20"/>
          <w:szCs w:val="20"/>
          <w:color w:val="auto"/>
        </w:rPr>
      </w:pPr>
    </w:p>
    <w:p>
      <w:pPr>
        <w:ind w:right="260" w:firstLine="758"/>
        <w:spacing w:after="0" w:line="272" w:lineRule="auto"/>
        <w:tabs>
          <w:tab w:leader="none" w:pos="109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opinions are limited to the laws, rules and regulations of the State of New York and the Florida Business Corporation Act (in each case including all reported judicial decisions interpreting such laws) (the “</w:t>
      </w: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and we do not express any opinion herein concerning any other laws.</w:t>
      </w:r>
    </w:p>
    <w:p>
      <w:pPr>
        <w:spacing w:after="0" w:line="116" w:lineRule="exact"/>
        <w:rPr>
          <w:rFonts w:ascii="Times New Roman" w:cs="Times New Roman" w:eastAsia="Times New Roman" w:hAnsi="Times New Roman"/>
          <w:sz w:val="17"/>
          <w:szCs w:val="17"/>
          <w:color w:val="auto"/>
        </w:rPr>
      </w:pPr>
    </w:p>
    <w:p>
      <w:pPr>
        <w:ind w:right="340" w:firstLine="758"/>
        <w:spacing w:after="0" w:line="272" w:lineRule="auto"/>
        <w:tabs>
          <w:tab w:leader="none" w:pos="109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opinions are subject to bankruptcy, insolvency, fraudulent transfer, reorganization, receivership, moratorium or similar laws affecting the rights and remedies of creditors, stakeholders, or classes or groups of creditors or stakeholders generally.</w:t>
      </w:r>
    </w:p>
    <w:p>
      <w:pPr>
        <w:spacing w:after="0" w:line="116" w:lineRule="exact"/>
        <w:rPr>
          <w:rFonts w:ascii="Times New Roman" w:cs="Times New Roman" w:eastAsia="Times New Roman" w:hAnsi="Times New Roman"/>
          <w:sz w:val="17"/>
          <w:szCs w:val="17"/>
          <w:color w:val="auto"/>
        </w:rPr>
      </w:pPr>
    </w:p>
    <w:p>
      <w:pPr>
        <w:ind w:right="480" w:firstLine="758"/>
        <w:spacing w:after="0" w:line="255" w:lineRule="auto"/>
        <w:tabs>
          <w:tab w:leader="none" w:pos="109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opinions are subject to general principles of equity exercisable in the discretion of a court (including without limitation obligations and standards of good faith, fair dealing, materiality and reasonableness and defenses relating to unconscionability or to impracticability or impossibility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795020</wp:posOffset>
            </wp:positionV>
            <wp:extent cx="718566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00"/>
          </w:cols>
          <w:pgMar w:left="300" w:top="743"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Brown &amp; Brown,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7, 2026</w:t>
      </w:r>
    </w:p>
    <w:p>
      <w:pPr>
        <w:spacing w:after="0"/>
        <w:rPr>
          <w:sz w:val="20"/>
          <w:szCs w:val="20"/>
          <w:color w:val="auto"/>
        </w:rPr>
      </w:pPr>
      <w:r>
        <w:rPr>
          <w:rFonts w:ascii="Times New Roman" w:cs="Times New Roman" w:eastAsia="Times New Roman" w:hAnsi="Times New Roman"/>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21907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19075" cy="6985"/>
                    </a:xfrm>
                    <a:prstGeom prst="rect">
                      <a:avLst/>
                    </a:prstGeom>
                    <a:noFill/>
                  </pic:spPr>
                </pic:pic>
              </a:graphicData>
            </a:graphic>
          </wp:anchor>
        </w:drawing>
      </w:r>
    </w:p>
    <w:p>
      <w:pPr>
        <w:spacing w:after="0" w:line="348" w:lineRule="exact"/>
        <w:rPr>
          <w:sz w:val="20"/>
          <w:szCs w:val="20"/>
          <w:color w:val="auto"/>
        </w:rPr>
      </w:pPr>
    </w:p>
    <w:p>
      <w:pPr>
        <w:ind w:right="160" w:firstLine="758"/>
        <w:spacing w:after="0" w:line="255" w:lineRule="auto"/>
        <w:tabs>
          <w:tab w:leader="none" w:pos="109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express no opinion with respect to the enforceability of disclaimers, waivers, releases, indemnities, hold harmless provisions, exculpations, provisions for contribution and liquidated damages or payments that would constitute penalties, and other provisions, however expressed, altering or eliminating the rights, liabilities or remedies a party otherwise would have, or any provisions having the effect of modifying a statute of limitations.</w:t>
      </w:r>
    </w:p>
    <w:p>
      <w:pPr>
        <w:spacing w:after="0" w:line="131" w:lineRule="exact"/>
        <w:rPr>
          <w:sz w:val="20"/>
          <w:szCs w:val="20"/>
          <w:color w:val="auto"/>
        </w:rPr>
      </w:pPr>
    </w:p>
    <w:p>
      <w:pPr>
        <w:ind w:firstLine="752"/>
        <w:spacing w:after="0" w:line="244" w:lineRule="auto"/>
        <w:rPr>
          <w:sz w:val="20"/>
          <w:szCs w:val="20"/>
          <w:color w:val="auto"/>
        </w:rPr>
      </w:pPr>
      <w:r>
        <w:rPr>
          <w:rFonts w:ascii="Times New Roman" w:cs="Times New Roman" w:eastAsia="Times New Roman" w:hAnsi="Times New Roman"/>
          <w:sz w:val="17"/>
          <w:szCs w:val="17"/>
          <w:color w:val="auto"/>
        </w:rPr>
        <w:t>This opinion letter is rendered to you in connection with the transactions contemplated by the Registration Statement. This opinion letter has been prepared, and is to be understood, in accordance with customary practice of lawyers who regularly give and lawyers who regularly advise recipients regarding opinions of this kind, is limited to the matters expressly stated herein and is provided solely for purposes of complying with the requirements of the Securities Act, and no opinions may be inferred or implied beyond the matters expressly stated herein. The opinions expressed herein are rendered and speak only as of the date hereof and we specifically disclaim any responsibility to update such opinions subsequent to the date hereof or to advise you of subsequent developments affecting such opinions.</w:t>
      </w:r>
    </w:p>
    <w:p>
      <w:pPr>
        <w:spacing w:after="0" w:line="165" w:lineRule="exact"/>
        <w:rPr>
          <w:sz w:val="20"/>
          <w:szCs w:val="20"/>
          <w:color w:val="auto"/>
        </w:rPr>
      </w:pPr>
    </w:p>
    <w:p>
      <w:pPr>
        <w:ind w:right="100" w:firstLine="752"/>
        <w:spacing w:after="0" w:line="255" w:lineRule="auto"/>
        <w:rPr>
          <w:sz w:val="20"/>
          <w:szCs w:val="20"/>
          <w:color w:val="auto"/>
        </w:rPr>
      </w:pPr>
      <w:r>
        <w:rPr>
          <w:rFonts w:ascii="Times New Roman" w:cs="Times New Roman" w:eastAsia="Times New Roman" w:hAnsi="Times New Roman"/>
          <w:sz w:val="17"/>
          <w:szCs w:val="17"/>
          <w:color w:val="auto"/>
        </w:rPr>
        <w:t>We consent to the filing of this opinion with the Commission as Exhibit 5.1 to the Registration Statement. We also consent to the reference to our firm under the caption “Legal Matters” in the Registration Statement. In giving this consent, we do not thereby admit that we are included in the category of persons whose consent is required under Section 7 of the Securities Act or the rules and regulations of the Commission promulgated thereunder.</w:t>
      </w:r>
    </w:p>
    <w:p>
      <w:pPr>
        <w:spacing w:after="0" w:line="1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17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HOLLAND &amp; KNIGHT LLP</w:t>
      </w:r>
    </w:p>
    <w:p>
      <w:pPr>
        <w:spacing w:after="0" w:line="1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/s/ Holland &amp; Knight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1271270</wp:posOffset>
            </wp:positionV>
            <wp:extent cx="718566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40"/>
          </w:cols>
          <w:pgMar w:left="300" w:top="743" w:right="359" w:bottom="1440" w:gutter="0" w:footer="0" w:header="0"/>
        </w:sectPr>
      </w:pPr>
    </w:p>
    <w:bookmarkStart w:id="49" w:name="page50"/>
    <w:bookmarkEnd w:id="49"/>
    <w:p>
      <w:pPr>
        <w:ind w:left="7440"/>
        <w:spacing w:after="0"/>
        <w:rPr>
          <w:sz w:val="20"/>
          <w:szCs w:val="20"/>
          <w:color w:val="auto"/>
        </w:rPr>
      </w:pPr>
      <w:r>
        <w:rPr>
          <w:rFonts w:ascii="Verdana" w:cs="Verdana" w:eastAsia="Verdana" w:hAnsi="Verdana"/>
          <w:sz w:val="10"/>
          <w:szCs w:val="10"/>
          <w:b w:val="1"/>
          <w:bCs w:val="1"/>
          <w:color w:val="auto"/>
        </w:rPr>
        <w:t>Deloitte &amp; Touche LLP</w:t>
      </w:r>
    </w:p>
    <w:p>
      <w:pPr>
        <w:ind w:left="7440"/>
        <w:spacing w:after="0" w:line="233" w:lineRule="auto"/>
        <w:rPr>
          <w:sz w:val="20"/>
          <w:szCs w:val="20"/>
          <w:color w:val="auto"/>
        </w:rPr>
      </w:pPr>
      <w:r>
        <w:rPr>
          <w:rFonts w:ascii="Verdana" w:cs="Verdana" w:eastAsia="Verdana" w:hAnsi="Verdana"/>
          <w:sz w:val="10"/>
          <w:szCs w:val="10"/>
          <w:color w:val="auto"/>
        </w:rPr>
        <w:t>Suite 3600</w:t>
      </w:r>
    </w:p>
    <w:p>
      <w:pPr>
        <w:ind w:left="7440"/>
        <w:spacing w:after="0" w:line="234" w:lineRule="auto"/>
        <w:rPr>
          <w:sz w:val="20"/>
          <w:szCs w:val="20"/>
          <w:color w:val="auto"/>
        </w:rPr>
      </w:pPr>
      <w:r>
        <w:rPr>
          <w:rFonts w:ascii="Verdana" w:cs="Verdana" w:eastAsia="Verdana" w:hAnsi="Verdana"/>
          <w:sz w:val="10"/>
          <w:szCs w:val="10"/>
          <w:color w:val="auto"/>
        </w:rPr>
        <w:t>201 N Franklin Street</w:t>
      </w:r>
    </w:p>
    <w:p>
      <w:pPr>
        <w:ind w:left="7440"/>
        <w:spacing w:after="0" w:line="234" w:lineRule="auto"/>
        <w:rPr>
          <w:sz w:val="20"/>
          <w:szCs w:val="20"/>
          <w:color w:val="auto"/>
        </w:rPr>
      </w:pPr>
      <w:r>
        <w:rPr>
          <w:rFonts w:ascii="Verdana" w:cs="Verdana" w:eastAsia="Verdana" w:hAnsi="Verdana"/>
          <w:sz w:val="10"/>
          <w:szCs w:val="10"/>
          <w:color w:val="auto"/>
        </w:rPr>
        <w:t>Tampa, FL 33602-5818</w:t>
      </w:r>
    </w:p>
    <w:p>
      <w:pPr>
        <w:ind w:left="7440"/>
        <w:spacing w:after="0"/>
        <w:rPr>
          <w:sz w:val="20"/>
          <w:szCs w:val="20"/>
          <w:color w:val="auto"/>
        </w:rPr>
      </w:pPr>
      <w:r>
        <w:rPr>
          <w:rFonts w:ascii="Verdana" w:cs="Verdana" w:eastAsia="Verdana" w:hAnsi="Verdana"/>
          <w:sz w:val="10"/>
          <w:szCs w:val="10"/>
          <w:color w:val="auto"/>
        </w:rPr>
        <w:t>USA</w:t>
      </w:r>
    </w:p>
    <w:p>
      <w:pPr>
        <w:spacing w:after="0" w:line="112" w:lineRule="exact"/>
        <w:rPr>
          <w:sz w:val="20"/>
          <w:szCs w:val="20"/>
          <w:color w:val="auto"/>
        </w:rPr>
      </w:pPr>
    </w:p>
    <w:p>
      <w:pPr>
        <w:ind w:left="7440"/>
        <w:spacing w:after="0"/>
        <w:rPr>
          <w:sz w:val="20"/>
          <w:szCs w:val="20"/>
          <w:color w:val="auto"/>
        </w:rPr>
      </w:pPr>
      <w:r>
        <w:rPr>
          <w:rFonts w:ascii="Verdana" w:cs="Verdana" w:eastAsia="Verdana" w:hAnsi="Verdana"/>
          <w:sz w:val="10"/>
          <w:szCs w:val="10"/>
          <w:color w:val="auto"/>
        </w:rPr>
        <w:t>Tel: +1 813 273 8300</w:t>
      </w:r>
    </w:p>
    <w:p>
      <w:pPr>
        <w:ind w:left="7440"/>
        <w:spacing w:after="0"/>
        <w:rPr>
          <w:sz w:val="20"/>
          <w:szCs w:val="20"/>
          <w:color w:val="auto"/>
        </w:rPr>
      </w:pPr>
      <w:r>
        <w:rPr>
          <w:rFonts w:ascii="Verdana" w:cs="Verdana" w:eastAsia="Verdana" w:hAnsi="Verdana"/>
          <w:sz w:val="10"/>
          <w:szCs w:val="10"/>
          <w:color w:val="auto"/>
        </w:rPr>
        <w:t>www.deloitte.com</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4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reports dated February 11, 2026, relating to the financial statements of Brown &amp; Brown, Inc. and the effectiveness of Brown &amp; Brown, Inc.'s internal control over financial reporting, appearing in the Annual Report on Form 10-K of Brown &amp; Brown, Inc. for the year ended December 31, 2025. We also consent to the reference to us under the heading "Experts" in such Registration Statement.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Tampa, Florida</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626745</wp:posOffset>
            </wp:positionV>
            <wp:extent cx="718566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940"/>
          </w:cols>
          <w:pgMar w:left="300" w:top="649" w:right="659" w:bottom="1440" w:gutter="0" w:footer="0" w:header="0"/>
        </w:sectPr>
      </w:pPr>
    </w:p>
    <w:bookmarkStart w:id="50" w:name="page51"/>
    <w:bookmarkEnd w:id="50"/>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358" w:lineRule="exact"/>
        <w:rPr>
          <w:sz w:val="20"/>
          <w:szCs w:val="20"/>
          <w:color w:val="auto"/>
        </w:rPr>
      </w:pPr>
    </w:p>
    <w:p>
      <w:pPr>
        <w:ind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8" w:lineRule="exact"/>
        <w:rPr>
          <w:sz w:val="20"/>
          <w:szCs w:val="20"/>
          <w:color w:val="auto"/>
        </w:rPr>
      </w:pPr>
    </w:p>
    <w:p>
      <w:pPr>
        <w:spacing w:after="0"/>
        <w:tabs>
          <w:tab w:leader="none" w:pos="560" w:val="left"/>
          <w:tab w:leader="none" w:pos="2860" w:val="left"/>
          <w:tab w:leader="none" w:pos="6880" w:val="left"/>
        </w:tabs>
        <w:rPr>
          <w:sz w:val="20"/>
          <w:szCs w:val="20"/>
          <w:color w:val="auto"/>
        </w:rPr>
      </w:pPr>
      <w:r>
        <w:rPr>
          <w:rFonts w:ascii="Times New Roman" w:cs="Times New Roman" w:eastAsia="Times New Roman" w:hAnsi="Times New Roman"/>
          <w:sz w:val="14"/>
          <w:szCs w:val="14"/>
          <w:color w:val="auto"/>
        </w:rPr>
        <w:t>Dated:</w:t>
        <w:tab/>
        <w:t>January 21, 2026</w:t>
      </w:r>
      <w:r>
        <w:rPr>
          <w:sz w:val="20"/>
          <w:szCs w:val="20"/>
          <w:color w:val="auto"/>
        </w:rPr>
        <w:tab/>
      </w:r>
      <w:r>
        <w:rPr>
          <w:rFonts w:ascii="Times New Roman" w:cs="Times New Roman" w:eastAsia="Times New Roman" w:hAnsi="Times New Roman"/>
          <w:sz w:val="14"/>
          <w:szCs w:val="14"/>
          <w:color w:val="auto"/>
        </w:rPr>
        <w:t>/s/ J. Hyatt Brown</w:t>
      </w:r>
      <w:r>
        <w:rPr>
          <w:sz w:val="20"/>
          <w:szCs w:val="20"/>
          <w:color w:val="auto"/>
        </w:rPr>
        <w:tab/>
      </w:r>
      <w:r>
        <w:rPr>
          <w:rFonts w:ascii="Times New Roman" w:cs="Times New Roman" w:eastAsia="Times New Roman" w:hAnsi="Times New Roman"/>
          <w:sz w:val="14"/>
          <w:szCs w:val="14"/>
          <w:color w:val="auto"/>
        </w:rPr>
        <w:t>J. Hyatt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934085</wp:posOffset>
            </wp:positionV>
            <wp:extent cx="718566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85660" cy="39370"/>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-3175</wp:posOffset>
            </wp:positionV>
            <wp:extent cx="91122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911225" cy="6985"/>
                    </a:xfrm>
                    <a:prstGeom prst="rect">
                      <a:avLst/>
                    </a:prstGeom>
                    <a:noFill/>
                  </pic:spPr>
                </pic:pic>
              </a:graphicData>
            </a:graphic>
          </wp:anchor>
        </w:drawing>
      </w:r>
    </w:p>
    <w:p>
      <w:pPr>
        <w:sectPr>
          <w:pgSz w:w="11900" w:h="16838" w:orient="portrait"/>
          <w:cols w:equalWidth="0" w:num="1">
            <w:col w:w="11140"/>
          </w:cols>
          <w:pgMar w:left="300" w:top="1329" w:right="4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right="140"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21, 2026</w:t>
            </w:r>
          </w:p>
        </w:tc>
        <w:tc>
          <w:tcPr>
            <w:tcW w:w="1080" w:type="dxa"/>
            <w:vAlign w:val="bottom"/>
          </w:tcPr>
          <w:p>
            <w:pPr>
              <w:spacing w:after="0"/>
              <w:rPr>
                <w:sz w:val="13"/>
                <w:szCs w:val="13"/>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 Powell Brown</w:t>
            </w:r>
          </w:p>
        </w:tc>
        <w:tc>
          <w:tcPr>
            <w:tcW w:w="6960" w:type="dxa"/>
            <w:vAlign w:val="bottom"/>
          </w:tcPr>
          <w:p>
            <w:pPr>
              <w:spacing w:after="0"/>
              <w:rPr>
                <w:sz w:val="13"/>
                <w:szCs w:val="13"/>
                <w:color w:val="auto"/>
              </w:rPr>
            </w:pPr>
          </w:p>
        </w:tc>
      </w:tr>
      <w:tr>
        <w:trPr>
          <w:trHeight w:val="184"/>
        </w:trPr>
        <w:tc>
          <w:tcPr>
            <w:tcW w:w="1800" w:type="dxa"/>
            <w:vAlign w:val="bottom"/>
          </w:tcPr>
          <w:p>
            <w:pPr>
              <w:spacing w:after="0"/>
              <w:rPr>
                <w:sz w:val="15"/>
                <w:szCs w:val="15"/>
                <w:color w:val="auto"/>
              </w:rPr>
            </w:pPr>
          </w:p>
        </w:tc>
        <w:tc>
          <w:tcPr>
            <w:tcW w:w="9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J. Powell Brown</w:t>
            </w:r>
          </w:p>
        </w:tc>
      </w:tr>
      <w:tr>
        <w:trPr>
          <w:trHeight w:val="1812"/>
        </w:trPr>
        <w:tc>
          <w:tcPr>
            <w:tcW w:w="1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right="140"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21, 2026</w:t>
            </w:r>
          </w:p>
        </w:tc>
        <w:tc>
          <w:tcPr>
            <w:tcW w:w="1080" w:type="dxa"/>
            <w:vAlign w:val="bottom"/>
          </w:tcPr>
          <w:p>
            <w:pPr>
              <w:spacing w:after="0"/>
              <w:rPr>
                <w:sz w:val="13"/>
                <w:szCs w:val="13"/>
                <w:color w:val="auto"/>
              </w:rPr>
            </w:pP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Lawrence L. Gellerstedt III</w:t>
            </w:r>
          </w:p>
        </w:tc>
        <w:tc>
          <w:tcPr>
            <w:tcW w:w="6400" w:type="dxa"/>
            <w:vAlign w:val="bottom"/>
          </w:tcPr>
          <w:p>
            <w:pPr>
              <w:spacing w:after="0"/>
              <w:rPr>
                <w:sz w:val="13"/>
                <w:szCs w:val="13"/>
                <w:color w:val="auto"/>
              </w:rPr>
            </w:pPr>
          </w:p>
        </w:tc>
      </w:tr>
      <w:tr>
        <w:trPr>
          <w:trHeight w:val="184"/>
        </w:trPr>
        <w:tc>
          <w:tcPr>
            <w:tcW w:w="1800" w:type="dxa"/>
            <w:vAlign w:val="bottom"/>
          </w:tcPr>
          <w:p>
            <w:pPr>
              <w:spacing w:after="0"/>
              <w:rPr>
                <w:sz w:val="15"/>
                <w:szCs w:val="15"/>
                <w:color w:val="auto"/>
              </w:rPr>
            </w:pPr>
          </w:p>
        </w:tc>
        <w:tc>
          <w:tcPr>
            <w:tcW w:w="9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Lawrence L. Gellerstedt III</w:t>
            </w:r>
          </w:p>
        </w:tc>
      </w:tr>
      <w:tr>
        <w:trPr>
          <w:trHeight w:val="1812"/>
        </w:trPr>
        <w:tc>
          <w:tcPr>
            <w:tcW w:w="1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right="140"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21, 2026</w:t>
            </w:r>
          </w:p>
        </w:tc>
        <w:tc>
          <w:tcPr>
            <w:tcW w:w="1080" w:type="dxa"/>
            <w:vAlign w:val="bottom"/>
          </w:tcPr>
          <w:p>
            <w:pPr>
              <w:spacing w:after="0"/>
              <w:rPr>
                <w:sz w:val="13"/>
                <w:szCs w:val="13"/>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Theodore J. Hoepner</w:t>
            </w:r>
          </w:p>
        </w:tc>
        <w:tc>
          <w:tcPr>
            <w:tcW w:w="6680" w:type="dxa"/>
            <w:vAlign w:val="bottom"/>
          </w:tcPr>
          <w:p>
            <w:pPr>
              <w:spacing w:after="0"/>
              <w:rPr>
                <w:sz w:val="13"/>
                <w:szCs w:val="13"/>
                <w:color w:val="auto"/>
              </w:rPr>
            </w:pPr>
          </w:p>
        </w:tc>
      </w:tr>
      <w:tr>
        <w:trPr>
          <w:trHeight w:val="184"/>
        </w:trPr>
        <w:tc>
          <w:tcPr>
            <w:tcW w:w="1800" w:type="dxa"/>
            <w:vAlign w:val="bottom"/>
          </w:tcPr>
          <w:p>
            <w:pPr>
              <w:spacing w:after="0"/>
              <w:rPr>
                <w:sz w:val="15"/>
                <w:szCs w:val="15"/>
                <w:color w:val="auto"/>
              </w:rPr>
            </w:pPr>
          </w:p>
        </w:tc>
        <w:tc>
          <w:tcPr>
            <w:tcW w:w="9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Theodore J. Hoepner</w:t>
            </w:r>
          </w:p>
        </w:tc>
      </w:tr>
      <w:tr>
        <w:trPr>
          <w:trHeight w:val="2157"/>
        </w:trPr>
        <w:tc>
          <w:tcPr>
            <w:tcW w:w="1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54" w:name="page55"/>
    <w:bookmarkEnd w:id="54"/>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2" w:lineRule="exact"/>
        <w:rPr>
          <w:sz w:val="20"/>
          <w:szCs w:val="20"/>
          <w:color w:val="auto"/>
        </w:rPr>
      </w:pPr>
    </w:p>
    <w:p>
      <w:pPr>
        <w:spacing w:after="0"/>
        <w:tabs>
          <w:tab w:leader="none" w:pos="560" w:val="left"/>
          <w:tab w:leader="none" w:pos="2860" w:val="left"/>
        </w:tabs>
        <w:rPr>
          <w:sz w:val="20"/>
          <w:szCs w:val="20"/>
          <w:color w:val="auto"/>
        </w:rPr>
      </w:pPr>
      <w:r>
        <w:rPr>
          <w:rFonts w:ascii="Times New Roman" w:cs="Times New Roman" w:eastAsia="Times New Roman" w:hAnsi="Times New Roman"/>
          <w:sz w:val="14"/>
          <w:szCs w:val="14"/>
          <w:color w:val="auto"/>
        </w:rPr>
        <w:t>Dated:</w:t>
        <w:tab/>
        <w:t>January 21, 2026</w:t>
      </w:r>
      <w:r>
        <w:rPr>
          <w:sz w:val="20"/>
          <w:szCs w:val="20"/>
          <w:color w:val="auto"/>
        </w:rPr>
        <w:tab/>
      </w:r>
      <w:r>
        <w:rPr>
          <w:rFonts w:ascii="Times New Roman" w:cs="Times New Roman" w:eastAsia="Times New Roman" w:hAnsi="Times New Roman"/>
          <w:sz w:val="14"/>
          <w:szCs w:val="14"/>
          <w:color w:val="auto"/>
        </w:rPr>
        <w:t>/s/ James S.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-3175</wp:posOffset>
            </wp:positionV>
            <wp:extent cx="109347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1093470" cy="6985"/>
                    </a:xfrm>
                    <a:prstGeom prst="rect">
                      <a:avLst/>
                    </a:prstGeom>
                    <a:noFill/>
                  </pic:spPr>
                </pic:pic>
              </a:graphicData>
            </a:graphic>
          </wp:anchor>
        </w:drawing>
      </w:r>
    </w:p>
    <w:p>
      <w:pPr>
        <w:spacing w:after="0" w:line="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James S.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1144270</wp:posOffset>
            </wp:positionV>
            <wp:extent cx="718566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40"/>
          </w:cols>
          <w:pgMar w:left="300" w:top="1329" w:right="459" w:bottom="1440" w:gutter="0" w:footer="0" w:header="0"/>
        </w:sectPr>
      </w:pPr>
    </w:p>
    <w:bookmarkStart w:id="55" w:name="page56"/>
    <w:bookmarkEnd w:id="55"/>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her true and lawful attorney-in-fact and agent, with full power of substitution and resubstitution, for her and in her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she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8" w:lineRule="exact"/>
        <w:rPr>
          <w:sz w:val="20"/>
          <w:szCs w:val="20"/>
          <w:color w:val="auto"/>
        </w:rPr>
      </w:pPr>
    </w:p>
    <w:p>
      <w:pPr>
        <w:spacing w:after="0"/>
        <w:tabs>
          <w:tab w:leader="none" w:pos="560" w:val="left"/>
          <w:tab w:leader="none" w:pos="2860" w:val="left"/>
        </w:tabs>
        <w:rPr>
          <w:sz w:val="20"/>
          <w:szCs w:val="20"/>
          <w:color w:val="auto"/>
        </w:rPr>
      </w:pPr>
      <w:r>
        <w:rPr>
          <w:rFonts w:ascii="Times New Roman" w:cs="Times New Roman" w:eastAsia="Times New Roman" w:hAnsi="Times New Roman"/>
          <w:sz w:val="14"/>
          <w:szCs w:val="14"/>
          <w:color w:val="auto"/>
        </w:rPr>
        <w:t>Dated:</w:t>
        <w:tab/>
        <w:t>January 21, 2026</w:t>
      </w:r>
      <w:r>
        <w:rPr>
          <w:sz w:val="20"/>
          <w:szCs w:val="20"/>
          <w:color w:val="auto"/>
        </w:rPr>
        <w:tab/>
      </w:r>
      <w:r>
        <w:rPr>
          <w:rFonts w:ascii="Times New Roman" w:cs="Times New Roman" w:eastAsia="Times New Roman" w:hAnsi="Times New Roman"/>
          <w:sz w:val="14"/>
          <w:szCs w:val="14"/>
          <w:color w:val="auto"/>
        </w:rPr>
        <w:t>/s/ Toni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-3175</wp:posOffset>
            </wp:positionV>
            <wp:extent cx="109347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093470" cy="6985"/>
                    </a:xfrm>
                    <a:prstGeom prst="rect">
                      <a:avLst/>
                    </a:prstGeom>
                    <a:noFill/>
                  </pic:spPr>
                </pic:pic>
              </a:graphicData>
            </a:graphic>
          </wp:anchor>
        </w:drawing>
      </w:r>
    </w:p>
    <w:p>
      <w:pPr>
        <w:spacing w:after="0" w:line="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Toni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1034415</wp:posOffset>
            </wp:positionV>
            <wp:extent cx="718566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20"/>
          </w:cols>
          <w:pgMar w:left="300" w:top="1329" w:right="47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272" w:lineRule="exact"/>
        <w:rPr>
          <w:sz w:val="20"/>
          <w:szCs w:val="20"/>
          <w:color w:val="auto"/>
        </w:rPr>
      </w:pPr>
    </w:p>
    <w:p>
      <w:pPr>
        <w:ind w:right="160"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her true and lawful attorney-in-fact and agent, with full power of substitution and resubstitution, for her and in her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she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21, 2026</w:t>
            </w:r>
          </w:p>
        </w:tc>
        <w:tc>
          <w:tcPr>
            <w:tcW w:w="1080" w:type="dxa"/>
            <w:vAlign w:val="bottom"/>
          </w:tcPr>
          <w:p>
            <w:pPr>
              <w:spacing w:after="0"/>
              <w:rPr>
                <w:sz w:val="13"/>
                <w:szCs w:val="13"/>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Joia M. Johnson</w:t>
            </w:r>
          </w:p>
        </w:tc>
        <w:tc>
          <w:tcPr>
            <w:tcW w:w="6960" w:type="dxa"/>
            <w:vAlign w:val="bottom"/>
          </w:tcPr>
          <w:p>
            <w:pPr>
              <w:spacing w:after="0"/>
              <w:rPr>
                <w:sz w:val="13"/>
                <w:szCs w:val="13"/>
                <w:color w:val="auto"/>
              </w:rPr>
            </w:pPr>
          </w:p>
        </w:tc>
      </w:tr>
      <w:tr>
        <w:trPr>
          <w:trHeight w:val="184"/>
        </w:trPr>
        <w:tc>
          <w:tcPr>
            <w:tcW w:w="1800" w:type="dxa"/>
            <w:vAlign w:val="bottom"/>
          </w:tcPr>
          <w:p>
            <w:pPr>
              <w:spacing w:after="0"/>
              <w:rPr>
                <w:sz w:val="15"/>
                <w:szCs w:val="15"/>
                <w:color w:val="auto"/>
              </w:rPr>
            </w:pPr>
          </w:p>
        </w:tc>
        <w:tc>
          <w:tcPr>
            <w:tcW w:w="9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Joia M. Johnson</w:t>
            </w:r>
          </w:p>
        </w:tc>
      </w:tr>
      <w:tr>
        <w:trPr>
          <w:trHeight w:val="1640"/>
        </w:trPr>
        <w:tc>
          <w:tcPr>
            <w:tcW w:w="1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57" w:name="page58"/>
    <w:bookmarkEnd w:id="57"/>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272" w:lineRule="exact"/>
        <w:rPr>
          <w:sz w:val="20"/>
          <w:szCs w:val="20"/>
          <w:color w:val="auto"/>
        </w:rPr>
      </w:pPr>
    </w:p>
    <w:p>
      <w:pPr>
        <w:ind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8" w:lineRule="exact"/>
        <w:rPr>
          <w:sz w:val="20"/>
          <w:szCs w:val="20"/>
          <w:color w:val="auto"/>
        </w:rPr>
      </w:pPr>
    </w:p>
    <w:p>
      <w:pPr>
        <w:spacing w:after="0"/>
        <w:tabs>
          <w:tab w:leader="none" w:pos="560" w:val="left"/>
          <w:tab w:leader="none" w:pos="2860" w:val="left"/>
        </w:tabs>
        <w:rPr>
          <w:sz w:val="20"/>
          <w:szCs w:val="20"/>
          <w:color w:val="auto"/>
        </w:rPr>
      </w:pPr>
      <w:r>
        <w:rPr>
          <w:rFonts w:ascii="Times New Roman" w:cs="Times New Roman" w:eastAsia="Times New Roman" w:hAnsi="Times New Roman"/>
          <w:sz w:val="14"/>
          <w:szCs w:val="14"/>
          <w:color w:val="auto"/>
        </w:rPr>
        <w:t>Dated:</w:t>
        <w:tab/>
        <w:t>January 21, 2026</w:t>
      </w:r>
      <w:r>
        <w:rPr>
          <w:sz w:val="20"/>
          <w:szCs w:val="20"/>
          <w:color w:val="auto"/>
        </w:rPr>
        <w:tab/>
      </w:r>
      <w:r>
        <w:rPr>
          <w:rFonts w:ascii="Times New Roman" w:cs="Times New Roman" w:eastAsia="Times New Roman" w:hAnsi="Times New Roman"/>
          <w:sz w:val="14"/>
          <w:szCs w:val="14"/>
          <w:color w:val="auto"/>
        </w:rPr>
        <w:t>/s/ Paul J. Krump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-3175</wp:posOffset>
            </wp:positionV>
            <wp:extent cx="109347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1093470" cy="6985"/>
                    </a:xfrm>
                    <a:prstGeom prst="rect">
                      <a:avLst/>
                    </a:prstGeom>
                    <a:noFill/>
                  </pic:spPr>
                </pic:pic>
              </a:graphicData>
            </a:graphic>
          </wp:anchor>
        </w:drawing>
      </w:r>
    </w:p>
    <w:p>
      <w:pPr>
        <w:spacing w:after="0" w:line="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Paul J. Krump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1362710</wp:posOffset>
            </wp:positionV>
            <wp:extent cx="718566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40"/>
          </w:cols>
          <w:pgMar w:left="300" w:top="1329" w:right="45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right="140"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21, 2026</w:t>
            </w:r>
          </w:p>
        </w:tc>
        <w:tc>
          <w:tcPr>
            <w:tcW w:w="1080" w:type="dxa"/>
            <w:vAlign w:val="bottom"/>
          </w:tcPr>
          <w:p>
            <w:pPr>
              <w:spacing w:after="0"/>
              <w:rPr>
                <w:sz w:val="13"/>
                <w:szCs w:val="13"/>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Timothy R.M. Main</w:t>
            </w:r>
          </w:p>
        </w:tc>
        <w:tc>
          <w:tcPr>
            <w:tcW w:w="6680" w:type="dxa"/>
            <w:vAlign w:val="bottom"/>
          </w:tcPr>
          <w:p>
            <w:pPr>
              <w:spacing w:after="0"/>
              <w:rPr>
                <w:sz w:val="13"/>
                <w:szCs w:val="13"/>
                <w:color w:val="auto"/>
              </w:rPr>
            </w:pPr>
          </w:p>
        </w:tc>
      </w:tr>
      <w:tr>
        <w:trPr>
          <w:trHeight w:val="184"/>
        </w:trPr>
        <w:tc>
          <w:tcPr>
            <w:tcW w:w="1800" w:type="dxa"/>
            <w:vAlign w:val="bottom"/>
          </w:tcPr>
          <w:p>
            <w:pPr>
              <w:spacing w:after="0"/>
              <w:rPr>
                <w:sz w:val="15"/>
                <w:szCs w:val="15"/>
                <w:color w:val="auto"/>
              </w:rPr>
            </w:pPr>
          </w:p>
        </w:tc>
        <w:tc>
          <w:tcPr>
            <w:tcW w:w="9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Timothy R.M. Main</w:t>
            </w:r>
          </w:p>
        </w:tc>
      </w:tr>
      <w:tr>
        <w:trPr>
          <w:trHeight w:val="1640"/>
        </w:trPr>
        <w:tc>
          <w:tcPr>
            <w:tcW w:w="1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272" w:lineRule="exact"/>
        <w:rPr>
          <w:sz w:val="20"/>
          <w:szCs w:val="20"/>
          <w:color w:val="auto"/>
        </w:rPr>
      </w:pPr>
    </w:p>
    <w:p>
      <w:pPr>
        <w:ind w:right="140"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21, 2026</w:t>
            </w:r>
          </w:p>
        </w:tc>
        <w:tc>
          <w:tcPr>
            <w:tcW w:w="1080" w:type="dxa"/>
            <w:vAlign w:val="bottom"/>
          </w:tcPr>
          <w:p>
            <w:pPr>
              <w:spacing w:after="0"/>
              <w:rPr>
                <w:sz w:val="13"/>
                <w:szCs w:val="13"/>
                <w:color w:val="auto"/>
              </w:rPr>
            </w:pP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Bronislaw E. Masojada</w:t>
            </w:r>
          </w:p>
        </w:tc>
        <w:tc>
          <w:tcPr>
            <w:tcW w:w="6400" w:type="dxa"/>
            <w:vAlign w:val="bottom"/>
          </w:tcPr>
          <w:p>
            <w:pPr>
              <w:spacing w:after="0"/>
              <w:rPr>
                <w:sz w:val="13"/>
                <w:szCs w:val="13"/>
                <w:color w:val="auto"/>
              </w:rPr>
            </w:pPr>
          </w:p>
        </w:tc>
      </w:tr>
      <w:tr>
        <w:trPr>
          <w:trHeight w:val="184"/>
        </w:trPr>
        <w:tc>
          <w:tcPr>
            <w:tcW w:w="1800" w:type="dxa"/>
            <w:vAlign w:val="bottom"/>
          </w:tcPr>
          <w:p>
            <w:pPr>
              <w:spacing w:after="0"/>
              <w:rPr>
                <w:sz w:val="15"/>
                <w:szCs w:val="15"/>
                <w:color w:val="auto"/>
              </w:rPr>
            </w:pPr>
          </w:p>
        </w:tc>
        <w:tc>
          <w:tcPr>
            <w:tcW w:w="9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Bronislaw E. Masojada</w:t>
            </w:r>
          </w:p>
        </w:tc>
      </w:tr>
      <w:tr>
        <w:trPr>
          <w:trHeight w:val="2157"/>
        </w:trPr>
        <w:tc>
          <w:tcPr>
            <w:tcW w:w="1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272" w:lineRule="exact"/>
        <w:rPr>
          <w:sz w:val="20"/>
          <w:szCs w:val="20"/>
          <w:color w:val="auto"/>
        </w:rPr>
      </w:pPr>
    </w:p>
    <w:p>
      <w:pPr>
        <w:ind w:right="140"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21, 2026</w:t>
            </w:r>
          </w:p>
        </w:tc>
        <w:tc>
          <w:tcPr>
            <w:tcW w:w="1080" w:type="dxa"/>
            <w:vAlign w:val="bottom"/>
          </w:tcPr>
          <w:p>
            <w:pPr>
              <w:spacing w:after="0"/>
              <w:rPr>
                <w:sz w:val="13"/>
                <w:szCs w:val="13"/>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Jaymin B. Patel</w:t>
            </w:r>
          </w:p>
        </w:tc>
        <w:tc>
          <w:tcPr>
            <w:tcW w:w="6960" w:type="dxa"/>
            <w:vAlign w:val="bottom"/>
          </w:tcPr>
          <w:p>
            <w:pPr>
              <w:spacing w:after="0"/>
              <w:rPr>
                <w:sz w:val="13"/>
                <w:szCs w:val="13"/>
                <w:color w:val="auto"/>
              </w:rPr>
            </w:pPr>
          </w:p>
        </w:tc>
      </w:tr>
      <w:tr>
        <w:trPr>
          <w:trHeight w:val="184"/>
        </w:trPr>
        <w:tc>
          <w:tcPr>
            <w:tcW w:w="1800" w:type="dxa"/>
            <w:vAlign w:val="bottom"/>
          </w:tcPr>
          <w:p>
            <w:pPr>
              <w:spacing w:after="0"/>
              <w:rPr>
                <w:sz w:val="15"/>
                <w:szCs w:val="15"/>
                <w:color w:val="auto"/>
              </w:rPr>
            </w:pPr>
          </w:p>
        </w:tc>
        <w:tc>
          <w:tcPr>
            <w:tcW w:w="9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Jaymin B. Patel</w:t>
            </w:r>
          </w:p>
        </w:tc>
      </w:tr>
      <w:tr>
        <w:trPr>
          <w:trHeight w:val="1812"/>
        </w:trPr>
        <w:tc>
          <w:tcPr>
            <w:tcW w:w="1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right="140"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21, 2026</w:t>
            </w:r>
          </w:p>
        </w:tc>
        <w:tc>
          <w:tcPr>
            <w:tcW w:w="1080" w:type="dxa"/>
            <w:vAlign w:val="bottom"/>
          </w:tcPr>
          <w:p>
            <w:pPr>
              <w:spacing w:after="0"/>
              <w:rPr>
                <w:sz w:val="13"/>
                <w:szCs w:val="13"/>
                <w:color w:val="auto"/>
              </w:rPr>
            </w:pP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H. Palmer Proctor, Jr.</w:t>
            </w:r>
          </w:p>
        </w:tc>
        <w:tc>
          <w:tcPr>
            <w:tcW w:w="6400" w:type="dxa"/>
            <w:vAlign w:val="bottom"/>
          </w:tcPr>
          <w:p>
            <w:pPr>
              <w:spacing w:after="0"/>
              <w:rPr>
                <w:sz w:val="13"/>
                <w:szCs w:val="13"/>
                <w:color w:val="auto"/>
              </w:rPr>
            </w:pPr>
          </w:p>
        </w:tc>
      </w:tr>
      <w:tr>
        <w:trPr>
          <w:trHeight w:val="184"/>
        </w:trPr>
        <w:tc>
          <w:tcPr>
            <w:tcW w:w="1800" w:type="dxa"/>
            <w:vAlign w:val="bottom"/>
          </w:tcPr>
          <w:p>
            <w:pPr>
              <w:spacing w:after="0"/>
              <w:rPr>
                <w:sz w:val="15"/>
                <w:szCs w:val="15"/>
                <w:color w:val="auto"/>
              </w:rPr>
            </w:pPr>
          </w:p>
        </w:tc>
        <w:tc>
          <w:tcPr>
            <w:tcW w:w="9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H. Palmer Proctor, Jr.</w:t>
            </w:r>
          </w:p>
        </w:tc>
      </w:tr>
      <w:tr>
        <w:trPr>
          <w:trHeight w:val="2157"/>
        </w:trPr>
        <w:tc>
          <w:tcPr>
            <w:tcW w:w="1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right="140"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his true and lawful attorney-in-fact and agent, with full power of substitution and resubstitution, for him and in his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21, 2026</w:t>
            </w:r>
          </w:p>
        </w:tc>
        <w:tc>
          <w:tcPr>
            <w:tcW w:w="1080" w:type="dxa"/>
            <w:vAlign w:val="bottom"/>
          </w:tcPr>
          <w:p>
            <w:pPr>
              <w:spacing w:after="0"/>
              <w:rPr>
                <w:sz w:val="13"/>
                <w:szCs w:val="13"/>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Wendell S. Reilly</w:t>
            </w:r>
          </w:p>
        </w:tc>
        <w:tc>
          <w:tcPr>
            <w:tcW w:w="6680" w:type="dxa"/>
            <w:vAlign w:val="bottom"/>
          </w:tcPr>
          <w:p>
            <w:pPr>
              <w:spacing w:after="0"/>
              <w:rPr>
                <w:sz w:val="13"/>
                <w:szCs w:val="13"/>
                <w:color w:val="auto"/>
              </w:rPr>
            </w:pPr>
          </w:p>
        </w:tc>
      </w:tr>
      <w:tr>
        <w:trPr>
          <w:trHeight w:val="184"/>
        </w:trPr>
        <w:tc>
          <w:tcPr>
            <w:tcW w:w="1800" w:type="dxa"/>
            <w:vAlign w:val="bottom"/>
          </w:tcPr>
          <w:p>
            <w:pPr>
              <w:spacing w:after="0"/>
              <w:rPr>
                <w:sz w:val="15"/>
                <w:szCs w:val="15"/>
                <w:color w:val="auto"/>
              </w:rPr>
            </w:pPr>
          </w:p>
        </w:tc>
        <w:tc>
          <w:tcPr>
            <w:tcW w:w="9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Wendell S. Reilly</w:t>
            </w:r>
          </w:p>
        </w:tc>
      </w:tr>
      <w:tr>
        <w:trPr>
          <w:trHeight w:val="1984"/>
        </w:trPr>
        <w:tc>
          <w:tcPr>
            <w:tcW w:w="1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6" w:lineRule="exact"/>
        <w:rPr>
          <w:sz w:val="20"/>
          <w:szCs w:val="20"/>
          <w:color w:val="auto"/>
        </w:rPr>
      </w:pPr>
    </w:p>
    <w:p>
      <w:pPr>
        <w:ind w:right="160" w:firstLine="425"/>
        <w:spacing w:after="0" w:line="263" w:lineRule="auto"/>
        <w:rPr>
          <w:sz w:val="20"/>
          <w:szCs w:val="20"/>
          <w:color w:val="auto"/>
        </w:rPr>
      </w:pPr>
      <w:r>
        <w:rPr>
          <w:rFonts w:ascii="Times New Roman" w:cs="Times New Roman" w:eastAsia="Times New Roman" w:hAnsi="Times New Roman"/>
          <w:sz w:val="14"/>
          <w:szCs w:val="14"/>
          <w:color w:val="auto"/>
        </w:rPr>
        <w:t>The undersigned constitutes and appoints R. Andrew Watts and Anthony M. Robinson, or either of them, as her true and lawful attorney-in-fact and agent, with full power of substitution and resubstitution, for her and in her name, place and stead, in any and all capacities, to sign and file a registration statement on Form S-3 for purposes of registering debt and equity securities of Brown &amp; Brown, Inc. utilizing a “shelf” registration process and any amendments thereto (including any post-effective amendments thereto) and to sign any registration statement for the same offering covered by the registration statement that is to be effective upon filing pursuant to Rule 462(b) promulgated under the Securities Act of 1933, as amended and to file the same,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she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21, 2026</w:t>
            </w:r>
          </w:p>
        </w:tc>
        <w:tc>
          <w:tcPr>
            <w:tcW w:w="1080" w:type="dxa"/>
            <w:vAlign w:val="bottom"/>
          </w:tcPr>
          <w:p>
            <w:pPr>
              <w:spacing w:after="0"/>
              <w:rPr>
                <w:sz w:val="13"/>
                <w:szCs w:val="13"/>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Kathleen A. Savio</w:t>
            </w:r>
          </w:p>
        </w:tc>
        <w:tc>
          <w:tcPr>
            <w:tcW w:w="6680" w:type="dxa"/>
            <w:vAlign w:val="bottom"/>
          </w:tcPr>
          <w:p>
            <w:pPr>
              <w:spacing w:after="0"/>
              <w:rPr>
                <w:sz w:val="13"/>
                <w:szCs w:val="13"/>
                <w:color w:val="auto"/>
              </w:rPr>
            </w:pPr>
          </w:p>
        </w:tc>
      </w:tr>
      <w:tr>
        <w:trPr>
          <w:trHeight w:val="184"/>
        </w:trPr>
        <w:tc>
          <w:tcPr>
            <w:tcW w:w="1800" w:type="dxa"/>
            <w:vAlign w:val="bottom"/>
          </w:tcPr>
          <w:p>
            <w:pPr>
              <w:spacing w:after="0"/>
              <w:rPr>
                <w:sz w:val="15"/>
                <w:szCs w:val="15"/>
                <w:color w:val="auto"/>
              </w:rPr>
            </w:pPr>
          </w:p>
        </w:tc>
        <w:tc>
          <w:tcPr>
            <w:tcW w:w="94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Kathleen A. Savio</w:t>
            </w:r>
          </w:p>
        </w:tc>
      </w:tr>
      <w:tr>
        <w:trPr>
          <w:trHeight w:val="1640"/>
        </w:trPr>
        <w:tc>
          <w:tcPr>
            <w:tcW w:w="1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64" w:name="page65"/>
    <w:bookmarkEnd w:id="64"/>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T-1</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STATEMENT OF ELIGIBILITY UNDER</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THE TRUST INDENTURE ACT OF 1939 OF A</w:t>
      </w: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CORPORATION DESIGNATED TO ACT AS TRUSTEE</w:t>
      </w:r>
    </w:p>
    <w:p>
      <w:pPr>
        <w:jc w:val="center"/>
        <w:ind w:right="-79"/>
        <w:spacing w:after="0"/>
        <w:rPr>
          <w:sz w:val="20"/>
          <w:szCs w:val="20"/>
          <w:color w:val="auto"/>
        </w:rPr>
      </w:pPr>
      <w:r>
        <w:rPr>
          <w:rFonts w:ascii="Times New Roman" w:cs="Times New Roman" w:eastAsia="Times New Roman" w:hAnsi="Times New Roman"/>
          <w:sz w:val="16"/>
          <w:szCs w:val="16"/>
          <w:color w:val="auto"/>
        </w:rPr>
        <w:t>Check if an Application to Determine Eligibility of</w:t>
      </w:r>
    </w:p>
    <w:p>
      <w:pPr>
        <w:jc w:val="center"/>
        <w:ind w:right="-79"/>
        <w:spacing w:after="0" w:line="184" w:lineRule="exact"/>
        <w:rPr>
          <w:sz w:val="20"/>
          <w:szCs w:val="20"/>
          <w:color w:val="auto"/>
        </w:rPr>
      </w:pPr>
      <w:r>
        <w:rPr>
          <w:rFonts w:ascii="Times New Roman" w:cs="Times New Roman" w:eastAsia="Times New Roman" w:hAnsi="Times New Roman"/>
          <w:sz w:val="16"/>
          <w:szCs w:val="16"/>
          <w:color w:val="auto"/>
        </w:rPr>
        <w:t xml:space="preserve">a Trustee Pursuant to Section 305(b)(2) </w:t>
      </w:r>
      <w:r>
        <w:rPr>
          <w:rFonts w:ascii="MS PGothic" w:cs="MS PGothic" w:eastAsia="MS PGothic" w:hAnsi="MS PGothic"/>
          <w:sz w:val="11"/>
          <w:szCs w:val="11"/>
          <w:color w:val="auto"/>
        </w:rPr>
        <w:t>☐</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U.S. BANK TRUST COMPANY, NATIONAL ASSOCIATION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20" w:type="dxa"/>
            <w:vAlign w:val="bottom"/>
            <w:gridSpan w:val="4"/>
          </w:tcPr>
          <w:p>
            <w:pPr>
              <w:jc w:val="center"/>
              <w:ind w:right="3795"/>
              <w:spacing w:after="0"/>
              <w:rPr>
                <w:sz w:val="20"/>
                <w:szCs w:val="20"/>
                <w:color w:val="auto"/>
              </w:rPr>
            </w:pPr>
            <w:r>
              <w:rPr>
                <w:rFonts w:ascii="Times New Roman" w:cs="Times New Roman" w:eastAsia="Times New Roman" w:hAnsi="Times New Roman"/>
                <w:sz w:val="13"/>
                <w:szCs w:val="13"/>
                <w:color w:val="auto"/>
                <w:w w:val="99"/>
              </w:rPr>
              <w:t>(Exact name of Trustee as specified in its charter)</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20" w:type="dxa"/>
            <w:vAlign w:val="bottom"/>
            <w:gridSpan w:val="3"/>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91-1821036</w:t>
            </w: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520" w:type="dxa"/>
            <w:vAlign w:val="bottom"/>
            <w:gridSpan w:val="3"/>
          </w:tcPr>
          <w:p>
            <w:pPr>
              <w:jc w:val="center"/>
              <w:ind w:right="4495"/>
              <w:spacing w:after="0"/>
              <w:rPr>
                <w:sz w:val="20"/>
                <w:szCs w:val="20"/>
                <w:color w:val="auto"/>
              </w:rPr>
            </w:pPr>
            <w:r>
              <w:rPr>
                <w:rFonts w:ascii="Times New Roman" w:cs="Times New Roman" w:eastAsia="Times New Roman" w:hAnsi="Times New Roman"/>
                <w:sz w:val="13"/>
                <w:szCs w:val="13"/>
                <w:color w:val="auto"/>
                <w:w w:val="99"/>
              </w:rPr>
              <w:t>I.R.S. Employer Identification No.</w:t>
            </w:r>
          </w:p>
        </w:tc>
        <w:tc>
          <w:tcPr>
            <w:tcW w:w="0" w:type="dxa"/>
            <w:vAlign w:val="bottom"/>
          </w:tcPr>
          <w:p>
            <w:pPr>
              <w:spacing w:after="0"/>
              <w:rPr>
                <w:sz w:val="1"/>
                <w:szCs w:val="1"/>
                <w:color w:val="auto"/>
              </w:rPr>
            </w:pPr>
          </w:p>
        </w:tc>
      </w:tr>
      <w:tr>
        <w:trPr>
          <w:trHeight w:val="130"/>
        </w:trPr>
        <w:tc>
          <w:tcPr>
            <w:tcW w:w="20" w:type="dxa"/>
            <w:vAlign w:val="bottom"/>
            <w:tcBorders>
              <w:bottom w:val="single" w:sz="8" w:color="auto"/>
            </w:tcBorders>
          </w:tcPr>
          <w:p>
            <w:pPr>
              <w:spacing w:after="0"/>
              <w:rPr>
                <w:sz w:val="11"/>
                <w:szCs w:val="11"/>
                <w:color w:val="auto"/>
              </w:rPr>
            </w:pPr>
          </w:p>
        </w:tc>
        <w:tc>
          <w:tcPr>
            <w:tcW w:w="3920" w:type="dxa"/>
            <w:vAlign w:val="bottom"/>
            <w:vMerge w:val="restart"/>
          </w:tcPr>
          <w:p>
            <w:pPr>
              <w:ind w:left="2120"/>
              <w:spacing w:after="0"/>
              <w:rPr>
                <w:sz w:val="20"/>
                <w:szCs w:val="20"/>
                <w:color w:val="auto"/>
              </w:rPr>
            </w:pPr>
            <w:r>
              <w:rPr>
                <w:rFonts w:ascii="Times New Roman" w:cs="Times New Roman" w:eastAsia="Times New Roman" w:hAnsi="Times New Roman"/>
                <w:sz w:val="16"/>
                <w:szCs w:val="16"/>
                <w:color w:val="auto"/>
              </w:rPr>
              <w:t>200 South 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Street</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000000"/>
          </w:tcPr>
          <w:p>
            <w:pPr>
              <w:spacing w:after="0"/>
              <w:rPr>
                <w:sz w:val="13"/>
                <w:szCs w:val="13"/>
                <w:color w:val="auto"/>
              </w:rPr>
            </w:pPr>
          </w:p>
        </w:tc>
        <w:tc>
          <w:tcPr>
            <w:tcW w:w="39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46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auto"/>
            </w:tcBorders>
            <w:shd w:val="clear" w:color="auto" w:fill="000000"/>
          </w:tcPr>
          <w:p>
            <w:pPr>
              <w:spacing w:after="0"/>
              <w:rPr>
                <w:sz w:val="19"/>
                <w:szCs w:val="19"/>
                <w:color w:val="auto"/>
              </w:rPr>
            </w:pPr>
          </w:p>
        </w:tc>
        <w:tc>
          <w:tcPr>
            <w:tcW w:w="3920" w:type="dxa"/>
            <w:vAlign w:val="bottom"/>
            <w:tcBorders>
              <w:bottom w:val="single" w:sz="8" w:color="auto"/>
            </w:tcBorders>
          </w:tcPr>
          <w:p>
            <w:pPr>
              <w:jc w:val="center"/>
              <w:ind w:left="1546"/>
              <w:spacing w:after="0"/>
              <w:rPr>
                <w:sz w:val="20"/>
                <w:szCs w:val="20"/>
                <w:color w:val="auto"/>
              </w:rPr>
            </w:pPr>
            <w:r>
              <w:rPr>
                <w:rFonts w:ascii="Times New Roman" w:cs="Times New Roman" w:eastAsia="Times New Roman" w:hAnsi="Times New Roman"/>
                <w:sz w:val="16"/>
                <w:szCs w:val="16"/>
                <w:color w:val="auto"/>
                <w:w w:val="98"/>
              </w:rPr>
              <w:t>Minneapolis, Minnesota</w:t>
            </w: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gridSpan w:val="2"/>
          </w:tcPr>
          <w:p>
            <w:pPr>
              <w:jc w:val="right"/>
              <w:ind w:right="2535"/>
              <w:spacing w:after="0"/>
              <w:rPr>
                <w:sz w:val="20"/>
                <w:szCs w:val="20"/>
                <w:color w:val="auto"/>
              </w:rPr>
            </w:pPr>
            <w:r>
              <w:rPr>
                <w:rFonts w:ascii="Times New Roman" w:cs="Times New Roman" w:eastAsia="Times New Roman" w:hAnsi="Times New Roman"/>
                <w:sz w:val="16"/>
                <w:szCs w:val="16"/>
                <w:color w:val="auto"/>
              </w:rPr>
              <w:t>55402</w:t>
            </w:r>
          </w:p>
        </w:tc>
        <w:tc>
          <w:tcPr>
            <w:tcW w:w="0" w:type="dxa"/>
            <w:vAlign w:val="bottom"/>
          </w:tcPr>
          <w:p>
            <w:pPr>
              <w:spacing w:after="0"/>
              <w:rPr>
                <w:sz w:val="1"/>
                <w:szCs w:val="1"/>
                <w:color w:val="auto"/>
              </w:rPr>
            </w:pPr>
          </w:p>
        </w:tc>
      </w:tr>
      <w:tr>
        <w:trPr>
          <w:trHeight w:val="138"/>
        </w:trPr>
        <w:tc>
          <w:tcPr>
            <w:tcW w:w="20" w:type="dxa"/>
            <w:vAlign w:val="bottom"/>
            <w:tcBorders>
              <w:bottom w:val="single" w:sz="8" w:color="auto"/>
            </w:tcBorders>
            <w:shd w:val="clear" w:color="auto" w:fill="000000"/>
          </w:tcPr>
          <w:p>
            <w:pPr>
              <w:spacing w:after="0"/>
              <w:rPr>
                <w:sz w:val="11"/>
                <w:szCs w:val="11"/>
                <w:color w:val="auto"/>
              </w:rPr>
            </w:pPr>
          </w:p>
        </w:tc>
        <w:tc>
          <w:tcPr>
            <w:tcW w:w="3920" w:type="dxa"/>
            <w:vAlign w:val="bottom"/>
            <w:tcBorders>
              <w:bottom w:val="single" w:sz="8" w:color="auto"/>
            </w:tcBorders>
          </w:tcPr>
          <w:p>
            <w:pPr>
              <w:jc w:val="center"/>
              <w:ind w:left="1546"/>
              <w:spacing w:after="0" w:line="138" w:lineRule="exact"/>
              <w:rPr>
                <w:sz w:val="20"/>
                <w:szCs w:val="20"/>
                <w:color w:val="auto"/>
              </w:rPr>
            </w:pPr>
            <w:r>
              <w:rPr>
                <w:rFonts w:ascii="Times New Roman" w:cs="Times New Roman" w:eastAsia="Times New Roman" w:hAnsi="Times New Roman"/>
                <w:sz w:val="13"/>
                <w:szCs w:val="13"/>
                <w:color w:val="auto"/>
                <w:w w:val="99"/>
              </w:rPr>
              <w:t>(Address of principal executive offices)</w:t>
            </w: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600" w:type="dxa"/>
            <w:vAlign w:val="bottom"/>
            <w:tcBorders>
              <w:bottom w:val="single" w:sz="8" w:color="auto"/>
              <w:right w:val="single" w:sz="8" w:color="auto"/>
            </w:tcBorders>
          </w:tcPr>
          <w:p>
            <w:pPr>
              <w:jc w:val="center"/>
              <w:ind w:right="935"/>
              <w:spacing w:after="0" w:line="138" w:lineRule="exact"/>
              <w:rPr>
                <w:sz w:val="20"/>
                <w:szCs w:val="20"/>
                <w:color w:val="auto"/>
              </w:rPr>
            </w:pPr>
            <w:r>
              <w:rPr>
                <w:rFonts w:ascii="Times New Roman" w:cs="Times New Roman" w:eastAsia="Times New Roman" w:hAnsi="Times New Roman"/>
                <w:sz w:val="13"/>
                <w:szCs w:val="13"/>
                <w:color w:val="auto"/>
                <w:w w:val="97"/>
              </w:rPr>
              <w:t>(Zip Code)</w:t>
            </w: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gridSpan w:val="3"/>
          </w:tcPr>
          <w:p>
            <w:pPr>
              <w:jc w:val="center"/>
              <w:ind w:right="4515"/>
              <w:spacing w:after="0"/>
              <w:rPr>
                <w:sz w:val="20"/>
                <w:szCs w:val="20"/>
                <w:color w:val="auto"/>
              </w:rPr>
            </w:pPr>
            <w:r>
              <w:rPr>
                <w:rFonts w:ascii="Times New Roman" w:cs="Times New Roman" w:eastAsia="Times New Roman" w:hAnsi="Times New Roman"/>
                <w:sz w:val="16"/>
                <w:szCs w:val="16"/>
                <w:color w:val="auto"/>
                <w:w w:val="98"/>
              </w:rPr>
              <w:t>Leanne M. Duffy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7220" w:type="dxa"/>
            <w:vAlign w:val="bottom"/>
            <w:gridSpan w:val="4"/>
          </w:tcPr>
          <w:p>
            <w:pPr>
              <w:jc w:val="center"/>
              <w:ind w:right="3835"/>
              <w:spacing w:after="0"/>
              <w:rPr>
                <w:sz w:val="20"/>
                <w:szCs w:val="20"/>
                <w:color w:val="auto"/>
              </w:rPr>
            </w:pPr>
            <w:r>
              <w:rPr>
                <w:rFonts w:ascii="Times New Roman" w:cs="Times New Roman" w:eastAsia="Times New Roman" w:hAnsi="Times New Roman"/>
                <w:sz w:val="16"/>
                <w:szCs w:val="16"/>
                <w:color w:val="auto"/>
                <w:w w:val="98"/>
              </w:rPr>
              <w:t>U.S. Bank Trust Company, National Association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520" w:type="dxa"/>
            <w:vAlign w:val="bottom"/>
            <w:gridSpan w:val="3"/>
          </w:tcPr>
          <w:p>
            <w:pPr>
              <w:jc w:val="center"/>
              <w:ind w:right="4515"/>
              <w:spacing w:after="0"/>
              <w:rPr>
                <w:sz w:val="20"/>
                <w:szCs w:val="20"/>
                <w:color w:val="auto"/>
              </w:rPr>
            </w:pPr>
            <w:r>
              <w:rPr>
                <w:rFonts w:ascii="Times New Roman" w:cs="Times New Roman" w:eastAsia="Times New Roman" w:hAnsi="Times New Roman"/>
                <w:sz w:val="16"/>
                <w:szCs w:val="16"/>
                <w:color w:val="auto"/>
                <w:w w:val="98"/>
              </w:rPr>
              <w:t>225 E Robinson St, Ste 250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520" w:type="dxa"/>
            <w:vAlign w:val="bottom"/>
            <w:gridSpan w:val="3"/>
          </w:tcPr>
          <w:p>
            <w:pPr>
              <w:jc w:val="center"/>
              <w:ind w:right="4515"/>
              <w:spacing w:after="0"/>
              <w:rPr>
                <w:sz w:val="20"/>
                <w:szCs w:val="20"/>
                <w:color w:val="auto"/>
              </w:rPr>
            </w:pPr>
            <w:r>
              <w:rPr>
                <w:rFonts w:ascii="Times New Roman" w:cs="Times New Roman" w:eastAsia="Times New Roman" w:hAnsi="Times New Roman"/>
                <w:sz w:val="16"/>
                <w:szCs w:val="16"/>
                <w:color w:val="auto"/>
                <w:w w:val="99"/>
              </w:rPr>
              <w:t>Orlando, FL 32801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62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auto"/>
              </w:rPr>
              <w:t>(407) 835-3807</w:t>
            </w: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20" w:type="dxa"/>
            <w:vAlign w:val="bottom"/>
            <w:gridSpan w:val="4"/>
          </w:tcPr>
          <w:p>
            <w:pPr>
              <w:jc w:val="center"/>
              <w:ind w:right="3775"/>
              <w:spacing w:after="0"/>
              <w:rPr>
                <w:sz w:val="20"/>
                <w:szCs w:val="20"/>
                <w:color w:val="auto"/>
              </w:rPr>
            </w:pPr>
            <w:r>
              <w:rPr>
                <w:rFonts w:ascii="Times New Roman" w:cs="Times New Roman" w:eastAsia="Times New Roman" w:hAnsi="Times New Roman"/>
                <w:sz w:val="13"/>
                <w:szCs w:val="13"/>
                <w:color w:val="auto"/>
                <w:w w:val="99"/>
              </w:rPr>
              <w:t>(Name, address and telephone number of agent for service)</w:t>
            </w: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gridSpan w:val="3"/>
          </w:tcPr>
          <w:p>
            <w:pPr>
              <w:jc w:val="center"/>
              <w:ind w:right="4475"/>
              <w:spacing w:after="0"/>
              <w:rPr>
                <w:sz w:val="20"/>
                <w:szCs w:val="20"/>
                <w:color w:val="auto"/>
              </w:rPr>
            </w:pPr>
            <w:r>
              <w:rPr>
                <w:rFonts w:ascii="Times New Roman" w:cs="Times New Roman" w:eastAsia="Times New Roman" w:hAnsi="Times New Roman"/>
                <w:sz w:val="20"/>
                <w:szCs w:val="20"/>
                <w:b w:val="1"/>
                <w:bCs w:val="1"/>
                <w:color w:val="auto"/>
              </w:rPr>
              <w:t>Brown &amp; Brown, Inc.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520" w:type="dxa"/>
            <w:vAlign w:val="bottom"/>
            <w:gridSpan w:val="3"/>
          </w:tcPr>
          <w:p>
            <w:pPr>
              <w:jc w:val="center"/>
              <w:ind w:right="4535"/>
              <w:spacing w:after="0" w:line="140" w:lineRule="exact"/>
              <w:rPr>
                <w:sz w:val="20"/>
                <w:szCs w:val="20"/>
                <w:color w:val="auto"/>
              </w:rPr>
            </w:pPr>
            <w:r>
              <w:rPr>
                <w:rFonts w:ascii="Times New Roman" w:cs="Times New Roman" w:eastAsia="Times New Roman" w:hAnsi="Times New Roman"/>
                <w:sz w:val="13"/>
                <w:szCs w:val="13"/>
                <w:color w:val="auto"/>
                <w:w w:val="99"/>
              </w:rPr>
              <w:t>(Issuer with respect to the Securities)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-1650365</wp:posOffset>
            </wp:positionV>
            <wp:extent cx="3548380"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548380" cy="12700"/>
                    </a:xfrm>
                    <a:prstGeom prst="rect">
                      <a:avLst/>
                    </a:prstGeom>
                    <a:noFill/>
                  </pic:spPr>
                </pic:pic>
              </a:graphicData>
            </a:graphic>
          </wp:anchor>
        </w:drawing>
      </w:r>
    </w:p>
    <w:p>
      <w:pPr>
        <w:sectPr>
          <w:pgSz w:w="11900" w:h="16838" w:orient="portrait"/>
          <w:cols w:equalWidth="0" w:num="1">
            <w:col w:w="11160"/>
          </w:cols>
          <w:pgMar w:left="320" w:top="1435" w:right="419" w:bottom="1440" w:gutter="0" w:footer="0" w:header="0"/>
        </w:sectPr>
      </w:pP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-120015</wp:posOffset>
            </wp:positionV>
            <wp:extent cx="7162800" cy="2489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62800" cy="248920"/>
                    </a:xfrm>
                    <a:prstGeom prst="rect">
                      <a:avLst/>
                    </a:prstGeom>
                    <a:noFill/>
                  </pic:spPr>
                </pic:pic>
              </a:graphicData>
            </a:graphic>
          </wp:anchor>
        </w:drawing>
      </w:r>
    </w:p>
    <w:p>
      <w:pPr>
        <w:spacing w:after="0" w:line="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2"/>
          <w:szCs w:val="12"/>
          <w:u w:val="single" w:color="auto"/>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jc w:val="center"/>
        <w:ind w:right="1840"/>
        <w:spacing w:after="0"/>
        <w:rPr>
          <w:sz w:val="20"/>
          <w:szCs w:val="20"/>
          <w:color w:val="auto"/>
        </w:rPr>
      </w:pPr>
      <w:r>
        <w:rPr>
          <w:rFonts w:ascii="Times New Roman" w:cs="Times New Roman" w:eastAsia="Times New Roman" w:hAnsi="Times New Roman"/>
          <w:sz w:val="17"/>
          <w:szCs w:val="17"/>
          <w:u w:val="single" w:color="auto"/>
          <w:color w:val="auto"/>
        </w:rPr>
        <w:t>59-0864469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(I.R.S. Employer Identification No.)</w:t>
      </w:r>
    </w:p>
    <w:p>
      <w:pPr>
        <w:spacing w:after="0" w:line="200" w:lineRule="exact"/>
        <w:rPr>
          <w:sz w:val="20"/>
          <w:szCs w:val="20"/>
          <w:color w:val="auto"/>
        </w:rPr>
      </w:pPr>
    </w:p>
    <w:p>
      <w:pPr>
        <w:sectPr>
          <w:pgSz w:w="11900" w:h="16838" w:orient="portrait"/>
          <w:cols w:equalWidth="0" w:num="2">
            <w:col w:w="6720" w:space="720"/>
            <w:col w:w="3720"/>
          </w:cols>
          <w:pgMar w:left="320" w:top="1435" w:right="41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548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220 South Ridgewood Avenue</w:t>
            </w:r>
          </w:p>
        </w:tc>
        <w:tc>
          <w:tcPr>
            <w:tcW w:w="5680" w:type="dxa"/>
            <w:vAlign w:val="bottom"/>
            <w:tcBorders>
              <w:top w:val="single" w:sz="8" w:color="auto"/>
              <w:right w:val="single" w:sz="8" w:color="auto"/>
            </w:tcBorders>
          </w:tcPr>
          <w:p>
            <w:pPr>
              <w:spacing w:after="0"/>
              <w:rPr>
                <w:sz w:val="16"/>
                <w:szCs w:val="16"/>
                <w:color w:val="auto"/>
              </w:rPr>
            </w:pPr>
          </w:p>
        </w:tc>
      </w:tr>
      <w:tr>
        <w:trPr>
          <w:trHeight w:val="252"/>
        </w:trPr>
        <w:tc>
          <w:tcPr>
            <w:tcW w:w="5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Daytona Beach, FL</w:t>
            </w:r>
          </w:p>
        </w:tc>
        <w:tc>
          <w:tcPr>
            <w:tcW w:w="5680" w:type="dxa"/>
            <w:vAlign w:val="bottom"/>
            <w:tcBorders>
              <w:bottom w:val="single" w:sz="8" w:color="auto"/>
              <w:right w:val="single" w:sz="8" w:color="auto"/>
            </w:tcBorders>
          </w:tcPr>
          <w:p>
            <w:pPr>
              <w:jc w:val="right"/>
              <w:ind w:right="2545"/>
              <w:spacing w:after="0"/>
              <w:rPr>
                <w:sz w:val="20"/>
                <w:szCs w:val="20"/>
                <w:color w:val="auto"/>
              </w:rPr>
            </w:pPr>
            <w:r>
              <w:rPr>
                <w:rFonts w:ascii="Times New Roman" w:cs="Times New Roman" w:eastAsia="Times New Roman" w:hAnsi="Times New Roman"/>
                <w:sz w:val="17"/>
                <w:szCs w:val="17"/>
                <w:color w:val="auto"/>
              </w:rPr>
              <w:t>32114</w:t>
            </w:r>
          </w:p>
        </w:tc>
      </w:tr>
      <w:tr>
        <w:trPr>
          <w:trHeight w:val="137"/>
        </w:trPr>
        <w:tc>
          <w:tcPr>
            <w:tcW w:w="5480" w:type="dxa"/>
            <w:vAlign w:val="bottom"/>
            <w:tcBorders>
              <w:left w:val="single" w:sz="8" w:color="auto"/>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w w:val="99"/>
              </w:rPr>
              <w:t>(Address of Principal Executive Offices)</w:t>
            </w:r>
          </w:p>
        </w:tc>
        <w:tc>
          <w:tcPr>
            <w:tcW w:w="56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rPr>
              <w:t>(Zip Code)</w:t>
            </w:r>
          </w:p>
        </w:tc>
      </w:tr>
    </w:tbl>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709295</wp:posOffset>
            </wp:positionV>
            <wp:extent cx="718566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60"/>
          </w:cols>
          <w:pgMar w:left="320" w:top="1435" w:right="419" w:bottom="1440" w:gutter="0" w:footer="0" w:header="0"/>
          <w:type w:val="continuous"/>
        </w:sectPr>
      </w:pPr>
    </w:p>
    <w:bookmarkStart w:id="65" w:name="page66"/>
    <w:bookmarkEnd w:id="65"/>
    <w:p>
      <w:pPr>
        <w:ind w:left="5200"/>
        <w:spacing w:after="0"/>
        <w:rPr>
          <w:sz w:val="20"/>
          <w:szCs w:val="20"/>
          <w:color w:val="auto"/>
        </w:rPr>
      </w:pPr>
      <w:r>
        <w:rPr>
          <w:rFonts w:ascii="Times New Roman" w:cs="Times New Roman" w:eastAsia="Times New Roman" w:hAnsi="Times New Roman"/>
          <w:sz w:val="17"/>
          <w:szCs w:val="17"/>
          <w:b w:val="1"/>
          <w:bCs w:val="1"/>
          <w:u w:val="single" w:color="auto"/>
          <w:color w:val="auto"/>
        </w:rPr>
        <w:t>FORM T-1</w:t>
      </w:r>
    </w:p>
    <w:p>
      <w:pPr>
        <w:spacing w:after="0" w:line="18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GENERAL INFORMATION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Furnish the following information as to the Trustee.</w:t>
      </w:r>
    </w:p>
    <w:p>
      <w:pPr>
        <w:spacing w:after="0" w:line="192" w:lineRule="exact"/>
        <w:rPr>
          <w:sz w:val="20"/>
          <w:szCs w:val="20"/>
          <w:color w:val="auto"/>
        </w:rPr>
      </w:pPr>
    </w:p>
    <w:p>
      <w:pPr>
        <w:ind w:left="2260" w:right="3040" w:hanging="1126"/>
        <w:spacing w:after="0" w:line="258" w:lineRule="auto"/>
        <w:tabs>
          <w:tab w:leader="none" w:pos="2260" w:val="left"/>
        </w:tabs>
        <w:numPr>
          <w:ilvl w:val="0"/>
          <w:numId w:val="6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Name and address of each examining or supervising authority to which it is subject. </w:t>
      </w:r>
      <w:r>
        <w:rPr>
          <w:rFonts w:ascii="Times New Roman" w:cs="Times New Roman" w:eastAsia="Times New Roman" w:hAnsi="Times New Roman"/>
          <w:sz w:val="17"/>
          <w:szCs w:val="17"/>
          <w:color w:val="auto"/>
        </w:rPr>
        <w:t>Comptroller of the Currency</w:t>
      </w:r>
    </w:p>
    <w:p>
      <w:pPr>
        <w:ind w:left="226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Washington, D.C.</w:t>
      </w:r>
    </w:p>
    <w:p>
      <w:pPr>
        <w:spacing w:after="0" w:line="170" w:lineRule="exact"/>
        <w:rPr>
          <w:rFonts w:ascii="Times New Roman" w:cs="Times New Roman" w:eastAsia="Times New Roman" w:hAnsi="Times New Roman"/>
          <w:sz w:val="17"/>
          <w:szCs w:val="17"/>
          <w:i w:val="1"/>
          <w:iCs w:val="1"/>
          <w:color w:val="auto"/>
        </w:rPr>
      </w:pPr>
    </w:p>
    <w:p>
      <w:pPr>
        <w:ind w:left="2460" w:right="4540" w:hanging="1312"/>
        <w:spacing w:after="0" w:line="277" w:lineRule="auto"/>
        <w:tabs>
          <w:tab w:leader="none" w:pos="2460" w:val="left"/>
        </w:tabs>
        <w:numPr>
          <w:ilvl w:val="1"/>
          <w:numId w:val="6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Whether it is authorized to exercise corporate trust powers. </w:t>
      </w:r>
      <w:r>
        <w:rPr>
          <w:rFonts w:ascii="Times New Roman" w:cs="Times New Roman" w:eastAsia="Times New Roman" w:hAnsi="Times New Roman"/>
          <w:sz w:val="17"/>
          <w:szCs w:val="17"/>
          <w:color w:val="auto"/>
        </w:rPr>
        <w:t>Yes</w:t>
      </w:r>
    </w:p>
    <w:p>
      <w:pPr>
        <w:spacing w:after="0" w:line="130" w:lineRule="exact"/>
        <w:rPr>
          <w:sz w:val="20"/>
          <w:szCs w:val="20"/>
          <w:color w:val="auto"/>
        </w:rPr>
      </w:pPr>
    </w:p>
    <w:p>
      <w:pPr>
        <w:ind w:left="1140" w:right="4500" w:hanging="1126"/>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Item 2. AFFILIATIONS WITH THE OBLIGOR. </w:t>
      </w:r>
      <w:r>
        <w:rPr>
          <w:rFonts w:ascii="Times New Roman" w:cs="Times New Roman" w:eastAsia="Times New Roman" w:hAnsi="Times New Roman"/>
          <w:sz w:val="17"/>
          <w:szCs w:val="17"/>
          <w:i w:val="1"/>
          <w:iCs w:val="1"/>
          <w:color w:val="auto"/>
        </w:rPr>
        <w:t>If the obligor is an affiliate of the Trustee,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describe each such affiliation.</w:t>
      </w:r>
    </w:p>
    <w:p>
      <w:pPr>
        <w:spacing w:after="0" w:line="31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b w:val="1"/>
          <w:bCs w:val="1"/>
          <w:color w:val="auto"/>
        </w:rPr>
        <w:t>Items 3-15</w:t>
      </w:r>
      <w:r>
        <w:rPr>
          <w:sz w:val="20"/>
          <w:szCs w:val="20"/>
          <w:color w:val="auto"/>
        </w:rPr>
        <w:tab/>
      </w:r>
      <w:r>
        <w:rPr>
          <w:rFonts w:ascii="Times New Roman" w:cs="Times New Roman" w:eastAsia="Times New Roman" w:hAnsi="Times New Roman"/>
          <w:sz w:val="17"/>
          <w:szCs w:val="17"/>
          <w:i w:val="1"/>
          <w:iCs w:val="1"/>
          <w:color w:val="auto"/>
        </w:rPr>
        <w:t>Items 3-15 are not applicable because to the best of the Trustee's knowledge, the</w:t>
      </w:r>
    </w:p>
    <w:p>
      <w:pPr>
        <w:spacing w:after="0" w:line="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i w:val="1"/>
          <w:iCs w:val="1"/>
          <w:color w:val="auto"/>
        </w:rPr>
        <w:t>obligor is not in default under any Indenture for which the Trustee acts as Trustee.</w:t>
      </w:r>
    </w:p>
    <w:p>
      <w:pPr>
        <w:spacing w:after="0" w:line="200" w:lineRule="exact"/>
        <w:rPr>
          <w:sz w:val="20"/>
          <w:szCs w:val="20"/>
          <w:color w:val="auto"/>
        </w:rPr>
      </w:pPr>
    </w:p>
    <w:p>
      <w:pPr>
        <w:spacing w:after="0" w:line="373" w:lineRule="exact"/>
        <w:rPr>
          <w:sz w:val="20"/>
          <w:szCs w:val="20"/>
          <w:color w:val="auto"/>
        </w:rPr>
      </w:pPr>
    </w:p>
    <w:p>
      <w:pPr>
        <w:ind w:left="1500" w:hanging="366"/>
        <w:spacing w:after="0"/>
        <w:tabs>
          <w:tab w:leader="none" w:pos="15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Articles of Association of the Trustee, attached as Exhibit 1.</w:t>
      </w:r>
    </w:p>
    <w:p>
      <w:pPr>
        <w:spacing w:after="0" w:line="202" w:lineRule="exact"/>
        <w:rPr>
          <w:rFonts w:ascii="Times New Roman" w:cs="Times New Roman" w:eastAsia="Times New Roman" w:hAnsi="Times New Roman"/>
          <w:sz w:val="17"/>
          <w:szCs w:val="17"/>
          <w:color w:val="auto"/>
        </w:rPr>
      </w:pPr>
    </w:p>
    <w:p>
      <w:pPr>
        <w:ind w:left="1500" w:hanging="366"/>
        <w:spacing w:after="0"/>
        <w:tabs>
          <w:tab w:leader="none" w:pos="15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certificate of authority of the Trustee to commence business, attached as Exhibit 2.</w:t>
      </w:r>
    </w:p>
    <w:p>
      <w:pPr>
        <w:spacing w:after="0" w:line="192" w:lineRule="exact"/>
        <w:rPr>
          <w:rFonts w:ascii="Times New Roman" w:cs="Times New Roman" w:eastAsia="Times New Roman" w:hAnsi="Times New Roman"/>
          <w:sz w:val="17"/>
          <w:szCs w:val="17"/>
          <w:color w:val="auto"/>
        </w:rPr>
      </w:pPr>
    </w:p>
    <w:p>
      <w:pPr>
        <w:ind w:left="1500" w:hanging="366"/>
        <w:spacing w:after="0"/>
        <w:tabs>
          <w:tab w:leader="none" w:pos="15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authorization of the Trustee to exercise corporate trust powers, included as Exhibit 2.</w:t>
      </w:r>
    </w:p>
    <w:p>
      <w:pPr>
        <w:spacing w:after="0" w:line="202" w:lineRule="exact"/>
        <w:rPr>
          <w:rFonts w:ascii="Times New Roman" w:cs="Times New Roman" w:eastAsia="Times New Roman" w:hAnsi="Times New Roman"/>
          <w:sz w:val="17"/>
          <w:szCs w:val="17"/>
          <w:color w:val="auto"/>
        </w:rPr>
      </w:pPr>
    </w:p>
    <w:p>
      <w:pPr>
        <w:ind w:left="1500" w:hanging="366"/>
        <w:spacing w:after="0"/>
        <w:tabs>
          <w:tab w:leader="none" w:pos="15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existing bylaws of the Trustee, attached as Exhibit 4.</w:t>
      </w:r>
    </w:p>
    <w:p>
      <w:pPr>
        <w:spacing w:after="0" w:line="192" w:lineRule="exact"/>
        <w:rPr>
          <w:rFonts w:ascii="Times New Roman" w:cs="Times New Roman" w:eastAsia="Times New Roman" w:hAnsi="Times New Roman"/>
          <w:sz w:val="17"/>
          <w:szCs w:val="17"/>
          <w:color w:val="auto"/>
        </w:rPr>
      </w:pPr>
    </w:p>
    <w:p>
      <w:pPr>
        <w:ind w:left="1500" w:hanging="366"/>
        <w:spacing w:after="0"/>
        <w:tabs>
          <w:tab w:leader="none" w:pos="15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each Indenture referred to in Item 4. Not applicable.</w:t>
      </w:r>
    </w:p>
    <w:p>
      <w:pPr>
        <w:spacing w:after="0" w:line="202" w:lineRule="exact"/>
        <w:rPr>
          <w:rFonts w:ascii="Times New Roman" w:cs="Times New Roman" w:eastAsia="Times New Roman" w:hAnsi="Times New Roman"/>
          <w:sz w:val="17"/>
          <w:szCs w:val="17"/>
          <w:color w:val="auto"/>
        </w:rPr>
      </w:pPr>
    </w:p>
    <w:p>
      <w:pPr>
        <w:ind w:left="1500" w:hanging="366"/>
        <w:spacing w:after="0"/>
        <w:tabs>
          <w:tab w:leader="none" w:pos="15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Trustee required by Section 321(b) of the Trust Indenture Act of 1939, attached as Exhibit 6.</w:t>
      </w:r>
    </w:p>
    <w:p>
      <w:pPr>
        <w:spacing w:after="0" w:line="192" w:lineRule="exact"/>
        <w:rPr>
          <w:rFonts w:ascii="Times New Roman" w:cs="Times New Roman" w:eastAsia="Times New Roman" w:hAnsi="Times New Roman"/>
          <w:sz w:val="17"/>
          <w:szCs w:val="17"/>
          <w:color w:val="auto"/>
        </w:rPr>
      </w:pPr>
    </w:p>
    <w:p>
      <w:pPr>
        <w:ind w:left="1500" w:hanging="366"/>
        <w:spacing w:after="0" w:line="272" w:lineRule="auto"/>
        <w:tabs>
          <w:tab w:leader="none" w:pos="15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of Condition of the Trustee as of December 31, 2025,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1565275</wp:posOffset>
            </wp:positionV>
            <wp:extent cx="7185660"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00"/>
          </w:cols>
          <w:pgMar w:left="300" w:top="1052" w:right="49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850265</wp:posOffset>
            </wp:positionV>
            <wp:extent cx="7185660"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019"/>
          </w:cols>
          <w:pgMar w:left="1440" w:top="1256" w:right="1440" w:bottom="1440" w:gutter="0" w:footer="0" w:header="0"/>
        </w:sectPr>
      </w:pPr>
    </w:p>
    <w:bookmarkStart w:id="67" w:name="page68"/>
    <w:bookmarkEnd w:id="67"/>
    <w:p>
      <w:pPr>
        <w:ind w:firstLine="752"/>
        <w:spacing w:after="0" w:line="255" w:lineRule="auto"/>
        <w:rPr>
          <w:sz w:val="20"/>
          <w:szCs w:val="20"/>
          <w:color w:val="auto"/>
        </w:rPr>
      </w:pPr>
      <w:r>
        <w:rPr>
          <w:rFonts w:ascii="Times New Roman" w:cs="Times New Roman" w:eastAsia="Times New Roman" w:hAnsi="Times New Roman"/>
          <w:sz w:val="17"/>
          <w:szCs w:val="17"/>
          <w:color w:val="auto"/>
        </w:rPr>
        <w:t>Pursuant to the requirements of the Trust Indenture Act of 1939, as amended, the Trustee, U.S. BANK TRUST COMPANY, NATIONAL ASSOCIATION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7"/>
          <w:szCs w:val="17"/>
          <w:color w:val="auto"/>
        </w:rPr>
        <w:t xml:space="preserve"> a national banking association organized and existing under the laws of the United States of America, has duly caused this statement of eligibility and qualification to be signed on its behalf by the undersigned, thereunto duly authorized, all in the City of Orlando, State of Florida on the 1st of May, 2026.</w:t>
      </w:r>
    </w:p>
    <w:p>
      <w:pPr>
        <w:spacing w:after="0" w:line="15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Leanne M. Duffy</w:t>
      </w:r>
    </w:p>
    <w:p>
      <w:pPr>
        <w:spacing w:after="0" w:line="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Leanne M. Duffy</w:t>
      </w:r>
    </w:p>
    <w:p>
      <w:pPr>
        <w:ind w:left="4520"/>
        <w:spacing w:after="0"/>
        <w:rPr>
          <w:sz w:val="20"/>
          <w:szCs w:val="20"/>
          <w:color w:val="auto"/>
        </w:rPr>
      </w:pP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1246505</wp:posOffset>
            </wp:positionV>
            <wp:extent cx="7185660"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1260" w:right="339" w:bottom="1440" w:gutter="0" w:footer="0" w:header="0"/>
        </w:sectPr>
      </w:pPr>
    </w:p>
    <w:bookmarkStart w:id="68" w:name="page69"/>
    <w:bookmarkEnd w:id="68"/>
    <w:p>
      <w:pPr>
        <w:ind w:left="4160"/>
        <w:spacing w:after="0"/>
        <w:rPr>
          <w:sz w:val="20"/>
          <w:szCs w:val="20"/>
          <w:color w:val="auto"/>
        </w:rPr>
      </w:pPr>
      <w:r>
        <w:rPr>
          <w:rFonts w:ascii="Times New Roman" w:cs="Times New Roman" w:eastAsia="Times New Roman" w:hAnsi="Times New Roman"/>
          <w:sz w:val="17"/>
          <w:szCs w:val="17"/>
          <w:b w:val="1"/>
          <w:bCs w:val="1"/>
          <w:u w:val="single" w:color="auto"/>
          <w:color w:val="auto"/>
        </w:rPr>
        <w:t>Exhibit 1</w:t>
      </w:r>
    </w:p>
    <w:p>
      <w:pPr>
        <w:spacing w:after="0" w:line="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ARTICLES OF ASSOCIATION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 S. BANK TRUST COMPANY,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502285</wp:posOffset>
            </wp:positionV>
            <wp:extent cx="7185660"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019"/>
          </w:cols>
          <w:pgMar w:left="1440" w:top="1263"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color w:val="auto"/>
        </w:rPr>
        <w:t>For the purpose of organizing an association (the “Association”) to perform any lawful activities of national banks, the undersigned enter into the following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Articles of Association: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FIRST. </w:t>
      </w:r>
      <w:r>
        <w:rPr>
          <w:rFonts w:ascii="Times New Roman" w:cs="Times New Roman" w:eastAsia="Times New Roman" w:hAnsi="Times New Roman"/>
          <w:sz w:val="17"/>
          <w:szCs w:val="17"/>
          <w:color w:val="auto"/>
        </w:rPr>
        <w:t>The title of this Association shall be U. S. Bank Trust Company, National Association.</w:t>
      </w:r>
    </w:p>
    <w:p>
      <w:pPr>
        <w:spacing w:after="0" w:line="192"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SECOND. </w:t>
      </w:r>
      <w:r>
        <w:rPr>
          <w:rFonts w:ascii="Times New Roman" w:cs="Times New Roman" w:eastAsia="Times New Roman" w:hAnsi="Times New Roman"/>
          <w:sz w:val="17"/>
          <w:szCs w:val="17"/>
          <w:color w:val="auto"/>
        </w:rPr>
        <w:t>The main office of the Association shall be in the city of Portland, county of Multnomah, state of Oregon. The business of the Association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to fiduciary powers and the support of activities incidental to the exercise of those powers. The Association may not expand or alter its business beyond that stated in this article without the prior approval of the Comptroller of the Currency.</w:t>
      </w:r>
    </w:p>
    <w:p>
      <w:pPr>
        <w:spacing w:after="0" w:line="159"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THIRD. </w:t>
      </w:r>
      <w:r>
        <w:rPr>
          <w:rFonts w:ascii="Times New Roman" w:cs="Times New Roman" w:eastAsia="Times New Roman" w:hAnsi="Times New Roman"/>
          <w:sz w:val="17"/>
          <w:szCs w:val="17"/>
          <w:color w:val="auto"/>
        </w:rPr>
        <w:t>The board of directors of the Association shall consist of not less than five nor more than twenty-five persons, the exact number to be fixed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74" w:lineRule="exact"/>
        <w:rPr>
          <w:sz w:val="20"/>
          <w:szCs w:val="20"/>
          <w:color w:val="auto"/>
        </w:rPr>
      </w:pPr>
    </w:p>
    <w:p>
      <w:pPr>
        <w:jc w:val="both"/>
        <w:ind w:right="140"/>
        <w:spacing w:after="0" w:line="246" w:lineRule="auto"/>
        <w:rPr>
          <w:sz w:val="20"/>
          <w:szCs w:val="20"/>
          <w:color w:val="auto"/>
        </w:rPr>
      </w:pPr>
      <w:r>
        <w:rPr>
          <w:rFonts w:ascii="Times New Roman" w:cs="Times New Roman" w:eastAsia="Times New Roman" w:hAnsi="Times New Roman"/>
          <w:sz w:val="17"/>
          <w:szCs w:val="17"/>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80"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FOURTH. </w:t>
      </w:r>
      <w:r>
        <w:rPr>
          <w:rFonts w:ascii="Times New Roman" w:cs="Times New Roman" w:eastAsia="Times New Roman" w:hAnsi="Times New Roman"/>
          <w:sz w:val="17"/>
          <w:szCs w:val="17"/>
          <w:color w:val="auto"/>
        </w:rPr>
        <w:t>There shall be an annual meeting of the shareholders to elect directors and transact whatever other business may be brought before the meeting. 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held at the main office or any other convenient place the board of directors may designate, on the day of each year specified therefor in the Bylaws, or if that day falls on a legal holiday in the state in which the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 xml:space="preserve">- 1 - </w:t>
      </w:r>
      <w:r>
        <w:rPr>
          <w:rFonts w:ascii="Times New Roman" w:cs="Times New Roman" w:eastAsia="Times New Roman" w:hAnsi="Times New Roman"/>
          <w:sz w:val="10"/>
          <w:szCs w:val="10"/>
          <w:color w:val="auto"/>
        </w:rPr>
        <w:t>80000-383/060297/XBB02E85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1059180</wp:posOffset>
            </wp:positionV>
            <wp:extent cx="7185660"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040"/>
          </w:cols>
          <w:pgMar w:left="460" w:top="1239" w:right="399" w:bottom="1440" w:gutter="0" w:footer="0" w:header="0"/>
        </w:sectPr>
      </w:pPr>
    </w:p>
    <w:bookmarkStart w:id="70" w:name="page71"/>
    <w:bookmarkEnd w:id="70"/>
    <w:p>
      <w:pPr>
        <w:jc w:val="both"/>
        <w:ind w:right="20"/>
        <w:spacing w:after="0" w:line="249" w:lineRule="auto"/>
        <w:rPr>
          <w:sz w:val="20"/>
          <w:szCs w:val="20"/>
          <w:color w:val="auto"/>
        </w:rPr>
      </w:pPr>
      <w:r>
        <w:rPr>
          <w:rFonts w:ascii="Times New Roman" w:cs="Times New Roman" w:eastAsia="Times New Roman" w:hAnsi="Times New Roman"/>
          <w:sz w:val="17"/>
          <w:szCs w:val="17"/>
          <w:color w:val="auto"/>
        </w:rPr>
        <w:t xml:space="preserve">Association is located, on the next following banking day. </w:t>
      </w:r>
      <w:r>
        <w:rPr>
          <w:rFonts w:ascii="Arial" w:cs="Arial" w:eastAsia="Arial" w:hAnsi="Arial"/>
          <w:sz w:val="16"/>
          <w:szCs w:val="16"/>
          <w:color w:val="auto"/>
        </w:rPr>
        <w:t>If</w:t>
      </w:r>
      <w:r>
        <w:rPr>
          <w:rFonts w:ascii="Times New Roman" w:cs="Times New Roman" w:eastAsia="Times New Roman" w:hAnsi="Times New Roman"/>
          <w:sz w:val="17"/>
          <w:szCs w:val="17"/>
          <w:color w:val="auto"/>
        </w:rPr>
        <w:t xml:space="preserve"> no election is held on the day fixed or in the event of a legal holiday on the following banking day, an election may be held on any subsequent day within 60 days of the day fixed, to be designated by the board of directors, or, </w:t>
      </w:r>
      <w:r>
        <w:rPr>
          <w:rFonts w:ascii="Arial" w:cs="Arial" w:eastAsia="Arial" w:hAnsi="Arial"/>
          <w:sz w:val="16"/>
          <w:szCs w:val="16"/>
          <w:color w:val="auto"/>
        </w:rPr>
        <w:t>if</w:t>
      </w:r>
      <w:r>
        <w:rPr>
          <w:rFonts w:ascii="Times New Roman" w:cs="Times New Roman" w:eastAsia="Times New Roman" w:hAnsi="Times New Roman"/>
          <w:sz w:val="17"/>
          <w:szCs w:val="17"/>
          <w:color w:val="auto"/>
        </w:rPr>
        <w:t xml:space="preserve"> the directors fail to fix the day, by shareholders representing two-thirds of the shares issued and outstanding. In all cases, at least 10 days’ advance notice of the meeting shall be given to the shareholders by first-class mail.</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35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4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 xml:space="preserve">A director may be removed by the shareholders at a meeting called to remove him or her, when notice of the meeting stating that the purpose or one of the purposes is to remove </w:t>
      </w:r>
      <w:r>
        <w:rPr>
          <w:rFonts w:ascii="Times New Roman" w:cs="Times New Roman" w:eastAsia="Times New Roman" w:hAnsi="Times New Roman"/>
          <w:sz w:val="16"/>
          <w:szCs w:val="16"/>
          <w:color w:val="auto"/>
        </w:rPr>
        <w:t>him</w:t>
      </w:r>
      <w:r>
        <w:rPr>
          <w:rFonts w:ascii="Times New Roman" w:cs="Times New Roman" w:eastAsia="Times New Roman" w:hAnsi="Times New Roman"/>
          <w:sz w:val="17"/>
          <w:szCs w:val="17"/>
          <w:color w:val="auto"/>
        </w:rPr>
        <w:t xml:space="preserve"> or her is provided, </w:t>
      </w:r>
      <w:r>
        <w:rPr>
          <w:rFonts w:ascii="Arial" w:cs="Arial" w:eastAsia="Arial" w:hAnsi="Arial"/>
          <w:sz w:val="16"/>
          <w:szCs w:val="16"/>
          <w:color w:val="auto"/>
        </w:rPr>
        <w:t>if</w:t>
      </w:r>
      <w:r>
        <w:rPr>
          <w:rFonts w:ascii="Times New Roman" w:cs="Times New Roman" w:eastAsia="Times New Roman" w:hAnsi="Times New Roman"/>
          <w:sz w:val="17"/>
          <w:szCs w:val="17"/>
          <w:color w:val="auto"/>
        </w:rPr>
        <w:t xml:space="preserve"> there is a failure to fulfill one of the affirmative requirements for qualification, or for cause; provided, however, that a director may not be removed </w:t>
      </w:r>
      <w:r>
        <w:rPr>
          <w:rFonts w:ascii="Arial" w:cs="Arial" w:eastAsia="Arial" w:hAnsi="Arial"/>
          <w:sz w:val="16"/>
          <w:szCs w:val="16"/>
          <w:color w:val="auto"/>
        </w:rPr>
        <w:t>if</w:t>
      </w:r>
      <w:r>
        <w:rPr>
          <w:rFonts w:ascii="Times New Roman" w:cs="Times New Roman" w:eastAsia="Times New Roman" w:hAnsi="Times New Roman"/>
          <w:sz w:val="17"/>
          <w:szCs w:val="17"/>
          <w:color w:val="auto"/>
        </w:rPr>
        <w:t xml:space="preserve"> the number of votes sufficient to elect him or her under cumulative voting is voted against his or her removal.</w:t>
      </w:r>
    </w:p>
    <w:p>
      <w:pPr>
        <w:spacing w:after="0" w:line="158" w:lineRule="exact"/>
        <w:rPr>
          <w:sz w:val="20"/>
          <w:szCs w:val="20"/>
          <w:color w:val="auto"/>
        </w:rPr>
      </w:pPr>
    </w:p>
    <w:p>
      <w:pPr>
        <w:ind w:right="180"/>
        <w:spacing w:after="0" w:line="242" w:lineRule="auto"/>
        <w:rPr>
          <w:sz w:val="20"/>
          <w:szCs w:val="20"/>
          <w:color w:val="auto"/>
        </w:rPr>
      </w:pPr>
      <w:r>
        <w:rPr>
          <w:rFonts w:ascii="Arial" w:cs="Arial" w:eastAsia="Arial" w:hAnsi="Arial"/>
          <w:sz w:val="19"/>
          <w:szCs w:val="19"/>
          <w:b w:val="1"/>
          <w:bCs w:val="1"/>
          <w:color w:val="auto"/>
        </w:rPr>
        <w:t xml:space="preserve">FIFTH. </w:t>
      </w:r>
      <w:r>
        <w:rPr>
          <w:rFonts w:ascii="Times New Roman" w:cs="Times New Roman" w:eastAsia="Times New Roman" w:hAnsi="Times New Roman"/>
          <w:sz w:val="17"/>
          <w:szCs w:val="17"/>
          <w:color w:val="auto"/>
        </w:rPr>
        <w:t>The authorized amount of capital stock of the Association shall be 1,000,000 shares of common stock of the par value of ten dollars ($10) each; but</w:t>
      </w:r>
      <w:r>
        <w:rPr>
          <w:rFonts w:ascii="Arial" w:cs="Arial" w:eastAsia="Arial" w:hAnsi="Arial"/>
          <w:sz w:val="19"/>
          <w:szCs w:val="19"/>
          <w:b w:val="1"/>
          <w:bCs w:val="1"/>
          <w:color w:val="auto"/>
        </w:rPr>
        <w:t xml:space="preserve"> </w:t>
      </w:r>
      <w:r>
        <w:rPr>
          <w:rFonts w:ascii="Times New Roman" w:cs="Times New Roman" w:eastAsia="Times New Roman" w:hAnsi="Times New Roman"/>
          <w:sz w:val="17"/>
          <w:szCs w:val="17"/>
          <w:color w:val="auto"/>
        </w:rPr>
        <w:t>said capital stock may be increased or decreased from time to time, according to the provisions of the laws of the United States. The Association shall have only one class of capital stock.</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6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 xml:space="preserve">Transfers of the Association's stock are subject to the prior written approval of a federal depository institution regulatory agency. </w:t>
      </w:r>
      <w:r>
        <w:rPr>
          <w:rFonts w:ascii="Arial" w:cs="Arial" w:eastAsia="Arial" w:hAnsi="Arial"/>
          <w:sz w:val="16"/>
          <w:szCs w:val="16"/>
          <w:color w:val="auto"/>
        </w:rPr>
        <w:t>If no</w:t>
      </w:r>
      <w:r>
        <w:rPr>
          <w:rFonts w:ascii="Times New Roman" w:cs="Times New Roman" w:eastAsia="Times New Roman" w:hAnsi="Times New Roman"/>
          <w:sz w:val="17"/>
          <w:szCs w:val="17"/>
          <w:color w:val="auto"/>
        </w:rPr>
        <w:t xml:space="preserve"> other agency approval is required, the approval of the Comptroller of the Currency must be obtained prior to any such transfers.</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1259840</wp:posOffset>
            </wp:positionV>
            <wp:extent cx="7185660"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980"/>
          </w:cols>
          <w:pgMar w:left="460" w:top="1077"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color w:val="auto"/>
        </w:rPr>
        <w:t xml:space="preserve">- 2 - </w:t>
      </w:r>
      <w:r>
        <w:rPr>
          <w:rFonts w:ascii="Arial" w:cs="Arial" w:eastAsia="Arial" w:hAnsi="Arial"/>
          <w:sz w:val="10"/>
          <w:szCs w:val="10"/>
          <w:b w:val="1"/>
          <w:bCs w:val="1"/>
          <w:color w:val="auto"/>
        </w:rPr>
        <w:t>80000-383/060297/XBB02B85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519430</wp:posOffset>
            </wp:positionV>
            <wp:extent cx="7185660"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159"/>
          </w:cols>
          <w:pgMar w:left="300" w:top="1088" w:right="1440" w:bottom="1440" w:gutter="0" w:footer="0" w:header="0"/>
        </w:sectPr>
      </w:pPr>
    </w:p>
    <w:bookmarkStart w:id="72" w:name="page73"/>
    <w:bookmarkEnd w:id="72"/>
    <w:p>
      <w:pPr>
        <w:jc w:val="both"/>
        <w:ind w:left="4" w:right="20"/>
        <w:spacing w:after="0" w:line="272" w:lineRule="auto"/>
        <w:rPr>
          <w:sz w:val="20"/>
          <w:szCs w:val="20"/>
          <w:color w:val="auto"/>
        </w:rPr>
      </w:pPr>
      <w:r>
        <w:rPr>
          <w:rFonts w:ascii="Times New Roman" w:cs="Times New Roman" w:eastAsia="Times New Roman" w:hAnsi="Times New Roman"/>
          <w:sz w:val="17"/>
          <w:szCs w:val="17"/>
          <w:color w:val="auto"/>
        </w:rPr>
        <w:t>Unless otherwise specified in the Articles of Association or required by law, all shares of voting stock shall be voted together as a class, on any matters requiring shareholder approval.</w:t>
      </w:r>
    </w:p>
    <w:p>
      <w:pPr>
        <w:spacing w:after="0" w:line="149"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7"/>
          <w:szCs w:val="17"/>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52" w:lineRule="exact"/>
        <w:rPr>
          <w:sz w:val="20"/>
          <w:szCs w:val="20"/>
          <w:color w:val="auto"/>
        </w:rPr>
      </w:pPr>
    </w:p>
    <w:p>
      <w:pPr>
        <w:jc w:val="both"/>
        <w:ind w:left="4" w:right="20"/>
        <w:spacing w:after="0" w:line="249" w:lineRule="auto"/>
        <w:rPr>
          <w:sz w:val="20"/>
          <w:szCs w:val="20"/>
          <w:color w:val="auto"/>
        </w:rPr>
      </w:pPr>
      <w:r>
        <w:rPr>
          <w:rFonts w:ascii="Times New Roman" w:cs="Times New Roman" w:eastAsia="Times New Roman" w:hAnsi="Times New Roman"/>
          <w:sz w:val="17"/>
          <w:szCs w:val="17"/>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80" w:lineRule="exact"/>
        <w:rPr>
          <w:sz w:val="20"/>
          <w:szCs w:val="20"/>
          <w:color w:val="auto"/>
        </w:rPr>
      </w:pPr>
    </w:p>
    <w:p>
      <w:pPr>
        <w:jc w:val="both"/>
        <w:ind w:left="4"/>
        <w:spacing w:after="0" w:line="249" w:lineRule="auto"/>
        <w:rPr>
          <w:sz w:val="20"/>
          <w:szCs w:val="20"/>
          <w:color w:val="auto"/>
        </w:rPr>
      </w:pPr>
      <w:r>
        <w:rPr>
          <w:rFonts w:ascii="Arial" w:cs="Arial" w:eastAsia="Arial" w:hAnsi="Arial"/>
          <w:sz w:val="14"/>
          <w:szCs w:val="14"/>
          <w:color w:val="auto"/>
          <w:highlight w:val="black"/>
        </w:rPr>
        <w:t xml:space="preserve">SIXTH. </w:t>
      </w:r>
      <w:r>
        <w:rPr>
          <w:rFonts w:ascii="Times New Roman" w:cs="Times New Roman" w:eastAsia="Times New Roman" w:hAnsi="Times New Roman"/>
          <w:sz w:val="17"/>
          <w:szCs w:val="17"/>
          <w:color w:val="auto"/>
        </w:rPr>
        <w:t>The board of directors shall appoint one of its members president of this Association and one of its members chairperson of the board and shall have</w:t>
      </w:r>
      <w:r>
        <w:rPr>
          <w:rFonts w:ascii="Arial" w:cs="Arial" w:eastAsia="Arial" w:hAnsi="Arial"/>
          <w:sz w:val="14"/>
          <w:szCs w:val="14"/>
          <w:color w:val="auto"/>
          <w:highlight w:val="black"/>
        </w:rPr>
        <w:t xml:space="preserve"> </w:t>
      </w:r>
      <w:r>
        <w:rPr>
          <w:rFonts w:ascii="Times New Roman" w:cs="Times New Roman" w:eastAsia="Times New Roman" w:hAnsi="Times New Roman"/>
          <w:sz w:val="17"/>
          <w:szCs w:val="17"/>
          <w:color w:val="auto"/>
        </w:rPr>
        <w:t>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board of directors shall have the power to:</w:t>
      </w:r>
    </w:p>
    <w:p>
      <w:pPr>
        <w:spacing w:after="0" w:line="203" w:lineRule="exact"/>
        <w:rPr>
          <w:sz w:val="20"/>
          <w:szCs w:val="20"/>
          <w:color w:val="auto"/>
        </w:rPr>
      </w:pPr>
    </w:p>
    <w:p>
      <w:pPr>
        <w:ind w:left="744" w:hanging="744"/>
        <w:spacing w:after="0"/>
        <w:tabs>
          <w:tab w:leader="none" w:pos="74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Define the duties of the officers, employees, and agents of the Association.</w:t>
      </w:r>
    </w:p>
    <w:p>
      <w:pPr>
        <w:spacing w:after="0" w:line="192" w:lineRule="exact"/>
        <w:rPr>
          <w:rFonts w:ascii="Times New Roman" w:cs="Times New Roman" w:eastAsia="Times New Roman" w:hAnsi="Times New Roman"/>
          <w:sz w:val="17"/>
          <w:szCs w:val="17"/>
          <w:color w:val="auto"/>
        </w:rPr>
      </w:pPr>
    </w:p>
    <w:p>
      <w:pPr>
        <w:ind w:left="744" w:hanging="744"/>
        <w:spacing w:after="0"/>
        <w:tabs>
          <w:tab w:leader="none" w:pos="74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Delegate the performance of its duties, but not the responsibility for its duties, to the officers, employees, and agents of the Association.</w:t>
      </w:r>
    </w:p>
    <w:p>
      <w:pPr>
        <w:spacing w:after="0" w:line="202" w:lineRule="exact"/>
        <w:rPr>
          <w:rFonts w:ascii="Times New Roman" w:cs="Times New Roman" w:eastAsia="Times New Roman" w:hAnsi="Times New Roman"/>
          <w:sz w:val="17"/>
          <w:szCs w:val="17"/>
          <w:color w:val="auto"/>
        </w:rPr>
      </w:pPr>
    </w:p>
    <w:p>
      <w:pPr>
        <w:ind w:left="744" w:right="580" w:hanging="744"/>
        <w:spacing w:after="0" w:line="272" w:lineRule="auto"/>
        <w:tabs>
          <w:tab w:leader="none" w:pos="74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 the compensation and enter employment contracts with its officers and employees upon reasonable terms and conditions consistent with applicable law.</w:t>
      </w:r>
    </w:p>
    <w:p>
      <w:pPr>
        <w:spacing w:after="0" w:line="149" w:lineRule="exact"/>
        <w:rPr>
          <w:rFonts w:ascii="Times New Roman" w:cs="Times New Roman" w:eastAsia="Times New Roman" w:hAnsi="Times New Roman"/>
          <w:sz w:val="17"/>
          <w:szCs w:val="17"/>
          <w:color w:val="auto"/>
        </w:rPr>
      </w:pPr>
    </w:p>
    <w:p>
      <w:pPr>
        <w:ind w:left="744" w:hanging="744"/>
        <w:spacing w:after="0"/>
        <w:tabs>
          <w:tab w:leader="none" w:pos="74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Dismiss officers and employees.</w:t>
      </w:r>
    </w:p>
    <w:p>
      <w:pPr>
        <w:spacing w:after="0" w:line="202" w:lineRule="exact"/>
        <w:rPr>
          <w:rFonts w:ascii="Times New Roman" w:cs="Times New Roman" w:eastAsia="Times New Roman" w:hAnsi="Times New Roman"/>
          <w:sz w:val="17"/>
          <w:szCs w:val="17"/>
          <w:color w:val="auto"/>
        </w:rPr>
      </w:pPr>
    </w:p>
    <w:p>
      <w:pPr>
        <w:ind w:left="744" w:hanging="744"/>
        <w:spacing w:after="0"/>
        <w:tabs>
          <w:tab w:leader="none" w:pos="74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bonds from officers and employees and to fix the penalty thereof.</w:t>
      </w:r>
    </w:p>
    <w:p>
      <w:pPr>
        <w:spacing w:after="0" w:line="192" w:lineRule="exact"/>
        <w:rPr>
          <w:rFonts w:ascii="Times New Roman" w:cs="Times New Roman" w:eastAsia="Times New Roman" w:hAnsi="Times New Roman"/>
          <w:sz w:val="17"/>
          <w:szCs w:val="17"/>
          <w:color w:val="auto"/>
        </w:rPr>
      </w:pPr>
    </w:p>
    <w:p>
      <w:pPr>
        <w:ind w:left="744" w:hanging="744"/>
        <w:spacing w:after="0"/>
        <w:tabs>
          <w:tab w:leader="none" w:pos="74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Ratify written policies authorized by the Association's management or committees of the board.</w:t>
      </w:r>
    </w:p>
    <w:p>
      <w:pPr>
        <w:spacing w:after="0" w:line="192" w:lineRule="exact"/>
        <w:rPr>
          <w:rFonts w:ascii="Times New Roman" w:cs="Times New Roman" w:eastAsia="Times New Roman" w:hAnsi="Times New Roman"/>
          <w:sz w:val="17"/>
          <w:szCs w:val="17"/>
          <w:color w:val="auto"/>
        </w:rPr>
      </w:pPr>
    </w:p>
    <w:p>
      <w:pPr>
        <w:jc w:val="both"/>
        <w:ind w:left="744" w:hanging="744"/>
        <w:spacing w:after="0" w:line="255" w:lineRule="auto"/>
        <w:tabs>
          <w:tab w:leader="none" w:pos="74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130" w:lineRule="exact"/>
        <w:rPr>
          <w:rFonts w:ascii="Times New Roman" w:cs="Times New Roman" w:eastAsia="Times New Roman" w:hAnsi="Times New Roman"/>
          <w:sz w:val="17"/>
          <w:szCs w:val="17"/>
          <w:color w:val="auto"/>
        </w:rPr>
      </w:pPr>
    </w:p>
    <w:p>
      <w:pPr>
        <w:ind w:left="4764" w:hanging="103"/>
        <w:spacing w:after="0"/>
        <w:tabs>
          <w:tab w:leader="none" w:pos="476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3 - </w:t>
      </w:r>
      <w:r>
        <w:rPr>
          <w:rFonts w:ascii="Arial" w:cs="Arial" w:eastAsia="Arial" w:hAnsi="Arial"/>
          <w:sz w:val="8"/>
          <w:szCs w:val="8"/>
          <w:color w:val="auto"/>
        </w:rPr>
        <w:t>80000-383/060297/XBB02E85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532765</wp:posOffset>
            </wp:positionV>
            <wp:extent cx="7185660"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984"/>
          </w:cols>
          <w:pgMar w:left="456" w:top="1077" w:right="459" w:bottom="1440" w:gutter="0" w:footer="0" w:header="0"/>
        </w:sectPr>
      </w:pPr>
    </w:p>
    <w:bookmarkStart w:id="73" w:name="page74"/>
    <w:bookmarkEnd w:id="73"/>
    <w:p>
      <w:pPr>
        <w:ind w:left="744" w:hanging="744"/>
        <w:spacing w:after="0"/>
        <w:tabs>
          <w:tab w:leader="none" w:pos="74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and administer the business and affairs of the Association.</w:t>
      </w:r>
    </w:p>
    <w:p>
      <w:pPr>
        <w:spacing w:after="0" w:line="202" w:lineRule="exact"/>
        <w:rPr>
          <w:rFonts w:ascii="Times New Roman" w:cs="Times New Roman" w:eastAsia="Times New Roman" w:hAnsi="Times New Roman"/>
          <w:sz w:val="17"/>
          <w:szCs w:val="17"/>
          <w:color w:val="auto"/>
        </w:rPr>
      </w:pPr>
    </w:p>
    <w:p>
      <w:pPr>
        <w:ind w:left="684" w:right="1140" w:hanging="684"/>
        <w:spacing w:after="0" w:line="272" w:lineRule="auto"/>
        <w:tabs>
          <w:tab w:leader="none" w:pos="68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initial Bylaws, not inconsistent with law or the Articles of Association, for managing the business and regulating the affairs of the Association.</w:t>
      </w:r>
    </w:p>
    <w:p>
      <w:pPr>
        <w:spacing w:after="0" w:line="138" w:lineRule="exact"/>
        <w:rPr>
          <w:rFonts w:ascii="Times New Roman" w:cs="Times New Roman" w:eastAsia="Times New Roman" w:hAnsi="Times New Roman"/>
          <w:sz w:val="17"/>
          <w:szCs w:val="17"/>
          <w:color w:val="auto"/>
        </w:rPr>
      </w:pPr>
    </w:p>
    <w:p>
      <w:pPr>
        <w:ind w:left="724" w:hanging="724"/>
        <w:spacing w:after="0"/>
        <w:tabs>
          <w:tab w:leader="none" w:pos="72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repeal Bylaws, except to the extent that the Articles of Association reserve this power in whole or in part to the shareholders.</w:t>
      </w:r>
    </w:p>
    <w:p>
      <w:pPr>
        <w:spacing w:after="0" w:line="202" w:lineRule="exact"/>
        <w:rPr>
          <w:rFonts w:ascii="Times New Roman" w:cs="Times New Roman" w:eastAsia="Times New Roman" w:hAnsi="Times New Roman"/>
          <w:sz w:val="17"/>
          <w:szCs w:val="17"/>
          <w:color w:val="auto"/>
        </w:rPr>
      </w:pPr>
    </w:p>
    <w:p>
      <w:pPr>
        <w:ind w:left="744" w:hanging="744"/>
        <w:spacing w:after="0"/>
        <w:tabs>
          <w:tab w:leader="none" w:pos="74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contracts.</w:t>
      </w:r>
    </w:p>
    <w:p>
      <w:pPr>
        <w:spacing w:after="0" w:line="192" w:lineRule="exact"/>
        <w:rPr>
          <w:rFonts w:ascii="Times New Roman" w:cs="Times New Roman" w:eastAsia="Times New Roman" w:hAnsi="Times New Roman"/>
          <w:sz w:val="17"/>
          <w:szCs w:val="17"/>
          <w:color w:val="auto"/>
        </w:rPr>
      </w:pPr>
    </w:p>
    <w:p>
      <w:pPr>
        <w:ind w:left="744" w:hanging="744"/>
        <w:spacing w:after="0"/>
        <w:tabs>
          <w:tab w:leader="none" w:pos="74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perform all acts that are legal for a board of directors to perform.</w:t>
      </w:r>
    </w:p>
    <w:p>
      <w:pPr>
        <w:spacing w:after="0" w:line="192" w:lineRule="exact"/>
        <w:rPr>
          <w:sz w:val="20"/>
          <w:szCs w:val="20"/>
          <w:color w:val="auto"/>
        </w:rPr>
      </w:pPr>
    </w:p>
    <w:p>
      <w:pPr>
        <w:jc w:val="both"/>
        <w:ind w:left="4"/>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SEVENTH. </w:t>
      </w:r>
      <w:r>
        <w:rPr>
          <w:rFonts w:ascii="Times New Roman" w:cs="Times New Roman" w:eastAsia="Times New Roman" w:hAnsi="Times New Roman"/>
          <w:sz w:val="17"/>
          <w:szCs w:val="17"/>
          <w:color w:val="auto"/>
        </w:rPr>
        <w:t>The board of directors shall have the power to change the location of the main office to any authorized branch within the limits of the city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Portland, Oregon, without the 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 xml:space="preserve">EIGHTH. </w:t>
      </w:r>
      <w:r>
        <w:rPr>
          <w:rFonts w:ascii="Times New Roman" w:cs="Times New Roman" w:eastAsia="Times New Roman" w:hAnsi="Times New Roman"/>
          <w:sz w:val="17"/>
          <w:szCs w:val="17"/>
          <w:color w:val="auto"/>
        </w:rPr>
        <w:t>The corporate existence of this Association shall continue until termination according to the laws of the United States.</w:t>
      </w:r>
    </w:p>
    <w:p>
      <w:pPr>
        <w:spacing w:after="0" w:line="192"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NINTH. </w:t>
      </w:r>
      <w:r>
        <w:rPr>
          <w:rFonts w:ascii="Times New Roman" w:cs="Times New Roman" w:eastAsia="Times New Roman" w:hAnsi="Times New Roman"/>
          <w:sz w:val="17"/>
          <w:szCs w:val="17"/>
          <w:color w:val="auto"/>
        </w:rPr>
        <w:t>The board of directors of the Association, or any shareholder owning, in the aggregate, not less than 25 percent of the stock of the Association,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call a special meeting of 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359"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TENTH. </w:t>
      </w:r>
      <w:r>
        <w:rPr>
          <w:rFonts w:ascii="Times New Roman" w:cs="Times New Roman" w:eastAsia="Times New Roman" w:hAnsi="Times New Roman"/>
          <w:sz w:val="17"/>
          <w:szCs w:val="17"/>
          <w:color w:val="auto"/>
        </w:rPr>
        <w:t>These Articles of Association may be amended at any regular or special meeting of the shareholders by the affirmative vote of the holders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majority of the stock of the 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1245235</wp:posOffset>
            </wp:positionV>
            <wp:extent cx="7185660"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984"/>
          </w:cols>
          <w:pgMar w:left="456" w:top="1109"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color w:val="auto"/>
        </w:rPr>
        <w:t xml:space="preserve">- 4 - </w:t>
      </w:r>
      <w:r>
        <w:rPr>
          <w:rFonts w:ascii="Arial" w:cs="Arial" w:eastAsia="Arial" w:hAnsi="Arial"/>
          <w:sz w:val="9"/>
          <w:szCs w:val="9"/>
          <w:color w:val="auto"/>
        </w:rPr>
        <w:t>80000-383/06fY297/XBBfY2E85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498475</wp:posOffset>
            </wp:positionV>
            <wp:extent cx="7185660"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159"/>
          </w:cols>
          <w:pgMar w:left="300" w:top="1110" w:right="1440" w:bottom="1440" w:gutter="0" w:footer="0" w:header="0"/>
        </w:sectPr>
      </w:pPr>
    </w:p>
    <w:bookmarkStart w:id="75" w:name="page76"/>
    <w:bookmarkEnd w:id="75"/>
    <w:p>
      <w:pPr>
        <w:ind w:left="4980"/>
        <w:spacing w:after="0"/>
        <w:rPr>
          <w:sz w:val="20"/>
          <w:szCs w:val="20"/>
          <w:color w:val="auto"/>
        </w:rPr>
      </w:pPr>
      <w:r>
        <w:rPr>
          <w:rFonts w:ascii="Times New Roman" w:cs="Times New Roman" w:eastAsia="Times New Roman" w:hAnsi="Times New Roman"/>
          <w:sz w:val="17"/>
          <w:szCs w:val="17"/>
          <w:color w:val="auto"/>
        </w:rPr>
        <w:t xml:space="preserve">In witness whereof, we have hereunto set our hands this </w:t>
      </w:r>
      <w:r>
        <w:rPr>
          <w:rFonts w:ascii="Times New Roman" w:cs="Times New Roman" w:eastAsia="Times New Roman" w:hAnsi="Times New Roman"/>
          <w:sz w:val="16"/>
          <w:szCs w:val="16"/>
          <w:u w:val="single" w:color="auto"/>
          <w:color w:val="auto"/>
        </w:rPr>
        <w:t>11</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4120515</wp:posOffset>
            </wp:positionV>
            <wp:extent cx="7185660"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85660" cy="3937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215265</wp:posOffset>
            </wp:positionV>
            <wp:extent cx="1504315" cy="18942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1504315" cy="1894205"/>
                    </a:xfrm>
                    <a:prstGeom prst="rect">
                      <a:avLst/>
                    </a:prstGeom>
                    <a:noFill/>
                  </pic:spPr>
                </pic:pic>
              </a:graphicData>
            </a:graphic>
          </wp:anchor>
        </w:drawing>
      </w:r>
    </w:p>
    <w:p>
      <w:pPr>
        <w:sectPr>
          <w:pgSz w:w="11900" w:h="16838" w:orient="portrait"/>
          <w:cols w:equalWidth="0" w:num="1">
            <w:col w:w="10140"/>
          </w:cols>
          <w:pgMar w:left="1440" w:top="1045" w:right="31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1171575</wp:posOffset>
            </wp:positionV>
            <wp:extent cx="718566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77" w:name="page78"/>
    <w:bookmarkEnd w:id="77"/>
    <w:p>
      <w:pPr>
        <w:spacing w:after="0"/>
        <w:rPr>
          <w:sz w:val="20"/>
          <w:szCs w:val="20"/>
          <w:color w:val="auto"/>
        </w:rPr>
      </w:pPr>
      <w:r>
        <w:rPr>
          <w:sz w:val="1"/>
          <w:szCs w:val="1"/>
          <w:color w:val="auto"/>
        </w:rPr>
        <w:drawing>
          <wp:inline distT="0" distB="0" distL="0" distR="0">
            <wp:extent cx="294005" cy="24638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294005" cy="246380"/>
                    </a:xfrm>
                    <a:prstGeom prst="rect">
                      <a:avLst/>
                    </a:prstGeom>
                    <a:noFill/>
                    <a:ln>
                      <a:noFill/>
                    </a:ln>
                  </pic:spPr>
                </pic:pic>
              </a:graphicData>
            </a:graphic>
          </wp:inline>
        </w:drawing>
      </w:r>
      <w:r>
        <w:rPr>
          <w:rFonts w:ascii="Arial" w:cs="Arial" w:eastAsia="Arial" w:hAnsi="Arial"/>
          <w:sz w:val="17"/>
          <w:szCs w:val="17"/>
          <w:b w:val="1"/>
          <w:bCs w:val="1"/>
          <w:color w:val="1F000D"/>
        </w:rPr>
        <w:t xml:space="preserve"> Office of the Comptroller of the Currency</w:t>
      </w:r>
    </w:p>
    <w:p>
      <w:pPr>
        <w:spacing w:after="0" w:line="1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color w:val="1F000D"/>
        </w:rPr>
        <w:t xml:space="preserve">Washington, </w:t>
      </w:r>
      <w:r>
        <w:rPr>
          <w:rFonts w:ascii="Arial" w:cs="Arial" w:eastAsia="Arial" w:hAnsi="Arial"/>
          <w:sz w:val="14"/>
          <w:szCs w:val="14"/>
          <w:color w:val="1F000D"/>
        </w:rPr>
        <w:t>DC 20219</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CERTIFICATE OF CORPORATE EXISTENCE AND FIDUCIARY POWERS</w:t>
      </w:r>
    </w:p>
    <w:p>
      <w:pPr>
        <w:spacing w:after="0" w:line="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I, Jonathan </w:t>
      </w:r>
      <w:r>
        <w:rPr>
          <w:rFonts w:ascii="Times New Roman" w:cs="Times New Roman" w:eastAsia="Times New Roman" w:hAnsi="Times New Roman"/>
          <w:sz w:val="16"/>
          <w:szCs w:val="16"/>
          <w:color w:val="1F000D"/>
        </w:rPr>
        <w:t>Gould, Comptroller</w:t>
      </w:r>
      <w:r>
        <w:rPr>
          <w:rFonts w:ascii="Times New Roman" w:cs="Times New Roman" w:eastAsia="Times New Roman" w:hAnsi="Times New Roman"/>
          <w:sz w:val="16"/>
          <w:szCs w:val="16"/>
          <w:color w:val="auto"/>
        </w:rPr>
        <w:t xml:space="preserve"> of the Currency, do hereby certify </w:t>
      </w:r>
      <w:r>
        <w:rPr>
          <w:rFonts w:ascii="Times New Roman" w:cs="Times New Roman" w:eastAsia="Times New Roman" w:hAnsi="Times New Roman"/>
          <w:sz w:val="16"/>
          <w:szCs w:val="16"/>
          <w:color w:val="1F000D"/>
        </w:rPr>
        <w:t>that:</w:t>
      </w:r>
    </w:p>
    <w:p>
      <w:pPr>
        <w:spacing w:after="0" w:line="182" w:lineRule="exact"/>
        <w:rPr>
          <w:sz w:val="20"/>
          <w:szCs w:val="20"/>
          <w:color w:val="auto"/>
        </w:rPr>
      </w:pPr>
    </w:p>
    <w:p>
      <w:pPr>
        <w:ind w:left="380" w:right="100" w:firstLine="3"/>
        <w:spacing w:after="0" w:line="268" w:lineRule="auto"/>
        <w:tabs>
          <w:tab w:leader="none" w:pos="711" w:val="left"/>
        </w:tabs>
        <w:numPr>
          <w:ilvl w:val="0"/>
          <w:numId w:val="64"/>
        </w:numPr>
        <w:rPr>
          <w:rFonts w:ascii="Times New Roman" w:cs="Times New Roman" w:eastAsia="Times New Roman" w:hAnsi="Times New Roman"/>
          <w:sz w:val="16"/>
          <w:szCs w:val="16"/>
          <w:color w:val="1F000D"/>
        </w:rPr>
      </w:pPr>
      <w:r>
        <w:rPr>
          <w:rFonts w:ascii="Times New Roman" w:cs="Times New Roman" w:eastAsia="Times New Roman" w:hAnsi="Times New Roman"/>
          <w:sz w:val="16"/>
          <w:szCs w:val="16"/>
          <w:color w:val="1F000D"/>
        </w:rPr>
        <w:t xml:space="preserve">The Comptroller of the </w:t>
      </w:r>
      <w:r>
        <w:rPr>
          <w:rFonts w:ascii="Times New Roman" w:cs="Times New Roman" w:eastAsia="Times New Roman" w:hAnsi="Times New Roman"/>
          <w:sz w:val="16"/>
          <w:szCs w:val="16"/>
          <w:color w:val="000000"/>
        </w:rPr>
        <w:t>Currency,</w:t>
      </w:r>
      <w:r>
        <w:rPr>
          <w:rFonts w:ascii="Times New Roman" w:cs="Times New Roman" w:eastAsia="Times New Roman" w:hAnsi="Times New Roman"/>
          <w:sz w:val="16"/>
          <w:szCs w:val="16"/>
          <w:color w:val="1F000D"/>
        </w:rPr>
        <w:t xml:space="preserve"> pursuant to Revised Statutes 324, </w:t>
      </w:r>
      <w:r>
        <w:rPr>
          <w:rFonts w:ascii="Times New Roman" w:cs="Times New Roman" w:eastAsia="Times New Roman" w:hAnsi="Times New Roman"/>
          <w:sz w:val="16"/>
          <w:szCs w:val="16"/>
          <w:color w:val="000000"/>
        </w:rPr>
        <w:t>et seq,</w:t>
      </w:r>
      <w:r>
        <w:rPr>
          <w:rFonts w:ascii="Times New Roman" w:cs="Times New Roman" w:eastAsia="Times New Roman" w:hAnsi="Times New Roman"/>
          <w:sz w:val="16"/>
          <w:szCs w:val="16"/>
          <w:color w:val="1F000D"/>
        </w:rPr>
        <w:t xml:space="preserve"> as amended, and 12 USC 1, et seq, as amended, has possession, custody, and control </w:t>
      </w:r>
      <w:r>
        <w:rPr>
          <w:rFonts w:ascii="Times New Roman" w:cs="Times New Roman" w:eastAsia="Times New Roman" w:hAnsi="Times New Roman"/>
          <w:sz w:val="16"/>
          <w:szCs w:val="16"/>
          <w:color w:val="000000"/>
        </w:rPr>
        <w:t>of</w:t>
      </w:r>
      <w:r>
        <w:rPr>
          <w:rFonts w:ascii="Times New Roman" w:cs="Times New Roman" w:eastAsia="Times New Roman" w:hAnsi="Times New Roman"/>
          <w:sz w:val="16"/>
          <w:szCs w:val="16"/>
          <w:color w:val="1F000D"/>
        </w:rPr>
        <w:t xml:space="preserve"> all records pertaining to the chartering, </w:t>
      </w:r>
      <w:r>
        <w:rPr>
          <w:rFonts w:ascii="Times New Roman" w:cs="Times New Roman" w:eastAsia="Times New Roman" w:hAnsi="Times New Roman"/>
          <w:sz w:val="16"/>
          <w:szCs w:val="16"/>
          <w:color w:val="000000"/>
        </w:rPr>
        <w:t>regulation,</w:t>
      </w:r>
      <w:r>
        <w:rPr>
          <w:rFonts w:ascii="Times New Roman" w:cs="Times New Roman" w:eastAsia="Times New Roman" w:hAnsi="Times New Roman"/>
          <w:sz w:val="16"/>
          <w:szCs w:val="16"/>
          <w:color w:val="1F000D"/>
        </w:rPr>
        <w:t xml:space="preserve"> and supervision of all national banking associations.</w:t>
      </w:r>
    </w:p>
    <w:p>
      <w:pPr>
        <w:spacing w:after="0" w:line="138" w:lineRule="exact"/>
        <w:rPr>
          <w:rFonts w:ascii="Times New Roman" w:cs="Times New Roman" w:eastAsia="Times New Roman" w:hAnsi="Times New Roman"/>
          <w:sz w:val="16"/>
          <w:szCs w:val="16"/>
          <w:color w:val="1F000D"/>
        </w:rPr>
      </w:pPr>
    </w:p>
    <w:p>
      <w:pPr>
        <w:ind w:left="380" w:firstLine="3"/>
        <w:spacing w:after="0" w:line="268" w:lineRule="auto"/>
        <w:tabs>
          <w:tab w:leader="none" w:pos="714" w:val="left"/>
        </w:tabs>
        <w:numPr>
          <w:ilvl w:val="0"/>
          <w:numId w:val="64"/>
        </w:numPr>
        <w:rPr>
          <w:rFonts w:ascii="Times New Roman" w:cs="Times New Roman" w:eastAsia="Times New Roman" w:hAnsi="Times New Roman"/>
          <w:sz w:val="16"/>
          <w:szCs w:val="16"/>
          <w:color w:val="1F000D"/>
        </w:rPr>
      </w:pPr>
      <w:r>
        <w:rPr>
          <w:rFonts w:ascii="Times New Roman" w:cs="Times New Roman" w:eastAsia="Times New Roman" w:hAnsi="Times New Roman"/>
          <w:sz w:val="16"/>
          <w:szCs w:val="16"/>
          <w:color w:val="1F000D"/>
        </w:rPr>
        <w:t xml:space="preserve">"U.S. Bank Trust Company, National Association," Portland, Oregon (Charter No. 23412), is a national banking association formed under the laws of the United States and is authorized thereunder to transact </w:t>
      </w:r>
      <w:r>
        <w:rPr>
          <w:rFonts w:ascii="Times New Roman" w:cs="Times New Roman" w:eastAsia="Times New Roman" w:hAnsi="Times New Roman"/>
          <w:sz w:val="16"/>
          <w:szCs w:val="16"/>
          <w:color w:val="000000"/>
        </w:rPr>
        <w:t>the</w:t>
      </w:r>
      <w:r>
        <w:rPr>
          <w:rFonts w:ascii="Times New Roman" w:cs="Times New Roman" w:eastAsia="Times New Roman" w:hAnsi="Times New Roman"/>
          <w:sz w:val="16"/>
          <w:szCs w:val="16"/>
          <w:color w:val="1F000D"/>
        </w:rPr>
        <w:t xml:space="preserve"> business of banking and exercise fiduciary powers on the date of this certificate.</w:t>
      </w:r>
    </w:p>
    <w:p>
      <w:pPr>
        <w:spacing w:after="0" w:line="138" w:lineRule="exact"/>
        <w:rPr>
          <w:sz w:val="20"/>
          <w:szCs w:val="20"/>
          <w:color w:val="auto"/>
        </w:rPr>
      </w:pPr>
    </w:p>
    <w:p>
      <w:pPr>
        <w:ind w:left="380" w:right="60"/>
        <w:spacing w:after="0" w:line="268" w:lineRule="auto"/>
        <w:rPr>
          <w:sz w:val="20"/>
          <w:szCs w:val="20"/>
          <w:color w:val="auto"/>
        </w:rPr>
      </w:pPr>
      <w:r>
        <w:rPr>
          <w:rFonts w:ascii="Times New Roman" w:cs="Times New Roman" w:eastAsia="Times New Roman" w:hAnsi="Times New Roman"/>
          <w:sz w:val="16"/>
          <w:szCs w:val="16"/>
          <w:color w:val="1F000D"/>
        </w:rPr>
        <w:t xml:space="preserve">IN TESTIMONY </w:t>
      </w:r>
      <w:r>
        <w:rPr>
          <w:rFonts w:ascii="Times New Roman" w:cs="Times New Roman" w:eastAsia="Times New Roman" w:hAnsi="Times New Roman"/>
          <w:sz w:val="16"/>
          <w:szCs w:val="16"/>
          <w:color w:val="000000"/>
        </w:rPr>
        <w:t>WHEREOF,</w:t>
      </w:r>
      <w:r>
        <w:rPr>
          <w:rFonts w:ascii="Times New Roman" w:cs="Times New Roman" w:eastAsia="Times New Roman" w:hAnsi="Times New Roman"/>
          <w:sz w:val="16"/>
          <w:szCs w:val="16"/>
          <w:color w:val="1F000D"/>
        </w:rPr>
        <w:t xml:space="preserve"> today, March </w:t>
      </w:r>
      <w:r>
        <w:rPr>
          <w:rFonts w:ascii="Times New Roman" w:cs="Times New Roman" w:eastAsia="Times New Roman" w:hAnsi="Times New Roman"/>
          <w:sz w:val="16"/>
          <w:szCs w:val="16"/>
          <w:color w:val="430009"/>
        </w:rPr>
        <w:t>27,</w:t>
      </w:r>
      <w:r>
        <w:rPr>
          <w:rFonts w:ascii="Times New Roman" w:cs="Times New Roman" w:eastAsia="Times New Roman" w:hAnsi="Times New Roman"/>
          <w:sz w:val="16"/>
          <w:szCs w:val="16"/>
          <w:color w:val="1F000D"/>
        </w:rPr>
        <w:t xml:space="preserve"> 2026, I </w:t>
      </w:r>
      <w:r>
        <w:rPr>
          <w:rFonts w:ascii="Times New Roman" w:cs="Times New Roman" w:eastAsia="Times New Roman" w:hAnsi="Times New Roman"/>
          <w:sz w:val="16"/>
          <w:szCs w:val="16"/>
          <w:color w:val="000000"/>
        </w:rPr>
        <w:t>have</w:t>
      </w:r>
      <w:r>
        <w:rPr>
          <w:rFonts w:ascii="Times New Roman" w:cs="Times New Roman" w:eastAsia="Times New Roman" w:hAnsi="Times New Roman"/>
          <w:sz w:val="16"/>
          <w:szCs w:val="16"/>
          <w:color w:val="1F000D"/>
        </w:rPr>
        <w:t xml:space="preserve"> hereunto subscribed my name and caused my seal of office to be affixed to these presents at the U.S. Department of the Treasury, in the City of Washington, </w:t>
      </w:r>
      <w:r>
        <w:rPr>
          <w:rFonts w:ascii="Times New Roman" w:cs="Times New Roman" w:eastAsia="Times New Roman" w:hAnsi="Times New Roman"/>
          <w:sz w:val="16"/>
          <w:szCs w:val="16"/>
          <w:color w:val="000000"/>
        </w:rPr>
        <w:t>District</w:t>
      </w:r>
      <w:r>
        <w:rPr>
          <w:rFonts w:ascii="Times New Roman" w:cs="Times New Roman" w:eastAsia="Times New Roman" w:hAnsi="Times New Roman"/>
          <w:sz w:val="16"/>
          <w:szCs w:val="16"/>
          <w:color w:val="1F000D"/>
        </w:rPr>
        <w:t xml:space="preserve">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688975</wp:posOffset>
            </wp:positionV>
            <wp:extent cx="718566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420"/>
          </w:cols>
          <w:pgMar w:left="600" w:top="1076" w:right="879"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1724025</wp:posOffset>
            </wp:positionV>
            <wp:extent cx="7185660"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85660" cy="39370"/>
                    </a:xfrm>
                    <a:prstGeom prst="rect">
                      <a:avLst/>
                    </a:prstGeom>
                    <a:noFill/>
                  </pic:spPr>
                </pic:pic>
              </a:graphicData>
            </a:graphic>
          </wp:anchor>
        </w:drawing>
        <w:drawing>
          <wp:anchor simplePos="0" relativeHeight="251657728" behindDoc="1" locked="0" layoutInCell="0" allowOverlap="1">
            <wp:simplePos x="0" y="0"/>
            <wp:positionH relativeFrom="page">
              <wp:posOffset>1712595</wp:posOffset>
            </wp:positionH>
            <wp:positionV relativeFrom="page">
              <wp:posOffset>662940</wp:posOffset>
            </wp:positionV>
            <wp:extent cx="1360805" cy="3352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360805" cy="335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ind w:right="3419"/>
        <w:spacing w:after="0"/>
        <w:rPr>
          <w:sz w:val="20"/>
          <w:szCs w:val="20"/>
          <w:color w:val="auto"/>
        </w:rPr>
      </w:pPr>
      <w:r>
        <w:rPr>
          <w:rFonts w:ascii="Arial" w:cs="Arial" w:eastAsia="Arial" w:hAnsi="Arial"/>
          <w:sz w:val="17"/>
          <w:szCs w:val="17"/>
          <w:b w:val="1"/>
          <w:bCs w:val="1"/>
          <w:color w:val="1F000D"/>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1541780</wp:posOffset>
            </wp:positionH>
            <wp:positionV relativeFrom="paragraph">
              <wp:posOffset>179070</wp:posOffset>
            </wp:positionV>
            <wp:extent cx="1340485" cy="13677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1340485" cy="1367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1F000D"/>
        </w:rPr>
        <w:t>2026-00886-C</w:t>
      </w: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u w:val="single" w:color="auto"/>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494665</wp:posOffset>
            </wp:positionV>
            <wp:extent cx="718566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479"/>
          </w:cols>
          <w:pgMar w:left="980" w:top="1062" w:right="1440" w:bottom="1440" w:gutter="0" w:footer="0" w:header="0"/>
        </w:sectPr>
      </w:pPr>
    </w:p>
    <w:bookmarkStart w:id="80" w:name="page81"/>
    <w:bookmarkEnd w:id="8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AMENDED AND RESTATED BYLAWS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ARTICLE 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Meetings of Shareholders</w:t>
      </w:r>
    </w:p>
    <w:p>
      <w:pPr>
        <w:spacing w:after="0" w:line="19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385"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ind w:right="260"/>
        <w:spacing w:after="0" w:line="250" w:lineRule="auto"/>
        <w:rPr>
          <w:sz w:val="20"/>
          <w:szCs w:val="20"/>
          <w:color w:val="auto"/>
        </w:rPr>
      </w:pPr>
      <w:r>
        <w:rPr>
          <w:rFonts w:ascii="Times New Roman" w:cs="Times New Roman" w:eastAsia="Times New Roman" w:hAnsi="Times New Roman"/>
          <w:sz w:val="17"/>
          <w:szCs w:val="17"/>
          <w:color w:val="auto"/>
        </w:rPr>
        <w:t>Every such special meeting, unless otherwise provided by law, shall be called upon not less than ten (10) days nor more than sixty (60) days prior notice stating the purpose of the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Nominations for Directors</w:t>
      </w:r>
      <w:r>
        <w:rPr>
          <w:rFonts w:ascii="Times New Roman" w:cs="Times New Roman" w:eastAsia="Times New Roman" w:hAnsi="Times New Roman"/>
          <w:sz w:val="17"/>
          <w:szCs w:val="17"/>
          <w:color w:val="auto"/>
        </w:rPr>
        <w:t>. Nominations for election to the Board may be made by the Board or by any shareholder.</w:t>
      </w:r>
    </w:p>
    <w:p>
      <w:pPr>
        <w:spacing w:after="0" w:line="214" w:lineRule="exact"/>
        <w:rPr>
          <w:sz w:val="20"/>
          <w:szCs w:val="20"/>
          <w:color w:val="auto"/>
        </w:rPr>
      </w:pPr>
    </w:p>
    <w:p>
      <w:pPr>
        <w:ind w:right="760"/>
        <w:spacing w:after="0" w:line="272"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60"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The record date for determining shareholders entitled to notice and to vote at any meeting will be thirty days before the date of such meeting, unless otherwise determined by the Board.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Quorum and Voting</w:t>
      </w:r>
      <w:r>
        <w:rPr>
          <w:rFonts w:ascii="Times New Roman" w:cs="Times New Roman" w:eastAsia="Times New Roman" w:hAnsi="Times New Roman"/>
          <w:sz w:val="17"/>
          <w:szCs w:val="17"/>
          <w:color w:val="auto"/>
        </w:rPr>
        <w:t>. A majority of the outstanding capital stock, represented in person or by proxy, shall constitute a quorum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492125</wp:posOffset>
            </wp:positionV>
            <wp:extent cx="718566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256" w:right="319" w:bottom="1440" w:gutter="0" w:footer="0" w:header="0"/>
        </w:sectPr>
      </w:pPr>
    </w:p>
    <w:bookmarkStart w:id="81" w:name="page82"/>
    <w:bookmarkEnd w:id="81"/>
    <w:p>
      <w:pPr>
        <w:spacing w:after="0" w:line="255" w:lineRule="auto"/>
        <w:rPr>
          <w:sz w:val="20"/>
          <w:szCs w:val="20"/>
          <w:color w:val="auto"/>
        </w:rPr>
      </w:pPr>
      <w:r>
        <w:rPr>
          <w:rFonts w:ascii="Times New Roman" w:cs="Times New Roman" w:eastAsia="Times New Roman" w:hAnsi="Times New Roman"/>
          <w:sz w:val="17"/>
          <w:szCs w:val="17"/>
          <w:color w:val="auto"/>
        </w:rPr>
        <w:t>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174"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Inspectors</w:t>
      </w:r>
      <w:r>
        <w:rPr>
          <w:rFonts w:ascii="Times New Roman" w:cs="Times New Roman" w:eastAsia="Times New Roman" w:hAnsi="Times New Roman"/>
          <w:sz w:val="17"/>
          <w:szCs w:val="17"/>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Waiver and Consent</w:t>
      </w:r>
      <w:r>
        <w:rPr>
          <w:rFonts w:ascii="Times New Roman" w:cs="Times New Roman" w:eastAsia="Times New Roman" w:hAnsi="Times New Roman"/>
          <w:sz w:val="17"/>
          <w:szCs w:val="17"/>
          <w:color w:val="auto"/>
        </w:rPr>
        <w:t>. The shareholders may act without notice or a meeting by a unanimous written consent by all shareholders.</w:t>
      </w:r>
    </w:p>
    <w:p>
      <w:pPr>
        <w:spacing w:after="0" w:line="203" w:lineRule="exact"/>
        <w:rPr>
          <w:sz w:val="20"/>
          <w:szCs w:val="20"/>
          <w:color w:val="auto"/>
        </w:rPr>
      </w:pPr>
    </w:p>
    <w:p>
      <w:pPr>
        <w:ind w:right="580"/>
        <w:spacing w:after="0" w:line="272" w:lineRule="auto"/>
        <w:rPr>
          <w:sz w:val="20"/>
          <w:szCs w:val="20"/>
          <w:color w:val="auto"/>
        </w:rPr>
      </w:pPr>
      <w:r>
        <w:rPr>
          <w:rFonts w:ascii="Times New Roman" w:cs="Times New Roman" w:eastAsia="Times New Roman" w:hAnsi="Times New Roman"/>
          <w:sz w:val="17"/>
          <w:szCs w:val="17"/>
          <w:color w:val="auto"/>
        </w:rPr>
        <w:t xml:space="preserve">Section 1.9. </w:t>
      </w:r>
      <w:r>
        <w:rPr>
          <w:rFonts w:ascii="Times New Roman" w:cs="Times New Roman" w:eastAsia="Times New Roman" w:hAnsi="Times New Roman"/>
          <w:sz w:val="17"/>
          <w:szCs w:val="17"/>
          <w:u w:val="single" w:color="auto"/>
          <w:color w:val="auto"/>
        </w:rPr>
        <w:t>Remote Meetings</w:t>
      </w:r>
      <w:r>
        <w:rPr>
          <w:rFonts w:ascii="Times New Roman" w:cs="Times New Roman" w:eastAsia="Times New Roman" w:hAnsi="Times New Roman"/>
          <w:sz w:val="17"/>
          <w:szCs w:val="17"/>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u w:val="single" w:color="auto"/>
          <w:color w:val="auto"/>
        </w:rPr>
        <w:t>ARTICLE II</w:t>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u w:val="single" w:color="auto"/>
          <w:color w:val="auto"/>
        </w:rPr>
        <w:t>Directors</w:t>
      </w:r>
    </w:p>
    <w:p>
      <w:pPr>
        <w:spacing w:after="0" w:line="185" w:lineRule="exact"/>
        <w:rPr>
          <w:sz w:val="20"/>
          <w:szCs w:val="20"/>
          <w:color w:val="auto"/>
        </w:rPr>
      </w:pPr>
    </w:p>
    <w:p>
      <w:pPr>
        <w:ind w:right="520"/>
        <w:spacing w:after="0" w:line="272"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6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Term of Office</w:t>
      </w:r>
      <w:r>
        <w:rPr>
          <w:rFonts w:ascii="Times New Roman" w:cs="Times New Roman" w:eastAsia="Times New Roman" w:hAnsi="Times New Roman"/>
          <w:sz w:val="17"/>
          <w:szCs w:val="17"/>
          <w:color w:val="auto"/>
        </w:rPr>
        <w:t>. The directors of this Association shall hold office for one year and until their successors are duly elected and qualified, or until their earlier resignation or removal.</w:t>
      </w:r>
    </w:p>
    <w:p>
      <w:pPr>
        <w:spacing w:after="0" w:line="160" w:lineRule="exact"/>
        <w:rPr>
          <w:sz w:val="20"/>
          <w:szCs w:val="20"/>
          <w:color w:val="auto"/>
        </w:rPr>
      </w:pPr>
    </w:p>
    <w:p>
      <w:pPr>
        <w:ind w:right="680"/>
        <w:spacing w:after="0" w:line="272"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rPr>
        <w:t>. In addition to the foregoing, the Board shall have and may exercise all of the powers granted to or conferred upon it by the Articles of Association, the Bylaws and by law.</w:t>
      </w:r>
    </w:p>
    <w:p>
      <w:pPr>
        <w:spacing w:after="0" w:line="149"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Number</w:t>
      </w:r>
      <w:r>
        <w:rPr>
          <w:rFonts w:ascii="Times New Roman" w:cs="Times New Roman" w:eastAsia="Times New Roman" w:hAnsi="Times New Roman"/>
          <w:sz w:val="17"/>
          <w:szCs w:val="17"/>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492125</wp:posOffset>
            </wp:positionV>
            <wp:extent cx="718566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80"/>
          </w:cols>
          <w:pgMar w:left="300" w:top="1045" w:right="419" w:bottom="1440" w:gutter="0" w:footer="0" w:header="0"/>
        </w:sectPr>
      </w:pPr>
    </w:p>
    <w:bookmarkStart w:id="82" w:name="page83"/>
    <w:bookmarkEnd w:id="82"/>
    <w:p>
      <w:pPr>
        <w:ind w:right="20"/>
        <w:spacing w:after="0" w:line="246" w:lineRule="auto"/>
        <w:rPr>
          <w:sz w:val="20"/>
          <w:szCs w:val="20"/>
          <w:color w:val="auto"/>
        </w:rPr>
      </w:pPr>
      <w:r>
        <w:rPr>
          <w:rFonts w:ascii="Times New Roman" w:cs="Times New Roman" w:eastAsia="Times New Roman" w:hAnsi="Times New Roman"/>
          <w:sz w:val="17"/>
          <w:szCs w:val="17"/>
          <w:color w:val="auto"/>
        </w:rPr>
        <w:t>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18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Organization Meeting</w:t>
      </w:r>
      <w:r>
        <w:rPr>
          <w:rFonts w:ascii="Times New Roman" w:cs="Times New Roman" w:eastAsia="Times New Roman" w:hAnsi="Times New Roman"/>
          <w:sz w:val="17"/>
          <w:szCs w:val="17"/>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80" w:lineRule="exact"/>
        <w:rPr>
          <w:sz w:val="20"/>
          <w:szCs w:val="20"/>
          <w:color w:val="auto"/>
        </w:rPr>
      </w:pPr>
    </w:p>
    <w:p>
      <w:pPr>
        <w:ind w:right="760"/>
        <w:spacing w:after="0" w:line="272"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 The regular meetings of the Board shall be held, without notice, as the Chairman or President may designate and deem suitable.</w:t>
      </w:r>
    </w:p>
    <w:p>
      <w:pPr>
        <w:spacing w:after="0" w:line="16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9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 xml:space="preserve">Section 2.8. </w:t>
      </w:r>
      <w:r>
        <w:rPr>
          <w:rFonts w:ascii="Times New Roman" w:cs="Times New Roman" w:eastAsia="Times New Roman" w:hAnsi="Times New Roman"/>
          <w:sz w:val="17"/>
          <w:szCs w:val="17"/>
          <w:u w:val="single" w:color="auto"/>
          <w:color w:val="auto"/>
        </w:rPr>
        <w:t>Quorum and Necessary Vote</w:t>
      </w:r>
      <w:r>
        <w:rPr>
          <w:rFonts w:ascii="Times New Roman" w:cs="Times New Roman" w:eastAsia="Times New Roman" w:hAnsi="Times New Roman"/>
          <w:sz w:val="17"/>
          <w:szCs w:val="17"/>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1236345</wp:posOffset>
            </wp:positionV>
            <wp:extent cx="718566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20"/>
          </w:cols>
          <w:pgMar w:left="300" w:top="1066" w:right="47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502285</wp:posOffset>
            </wp:positionV>
            <wp:extent cx="7185660"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84" w:name="page85"/>
    <w:bookmarkEnd w:id="84"/>
    <w:p>
      <w:pPr>
        <w:ind w:right="360"/>
        <w:spacing w:after="0" w:line="272" w:lineRule="auto"/>
        <w:rPr>
          <w:sz w:val="20"/>
          <w:szCs w:val="20"/>
          <w:color w:val="auto"/>
        </w:rPr>
      </w:pPr>
      <w:r>
        <w:rPr>
          <w:rFonts w:ascii="Times New Roman" w:cs="Times New Roman" w:eastAsia="Times New Roman" w:hAnsi="Times New Roman"/>
          <w:sz w:val="17"/>
          <w:szCs w:val="17"/>
          <w:color w:val="auto"/>
        </w:rPr>
        <w:t xml:space="preserve">Section 2.9. </w:t>
      </w:r>
      <w:r>
        <w:rPr>
          <w:rFonts w:ascii="Times New Roman" w:cs="Times New Roman" w:eastAsia="Times New Roman" w:hAnsi="Times New Roman"/>
          <w:sz w:val="17"/>
          <w:szCs w:val="17"/>
          <w:u w:val="single" w:color="auto"/>
          <w:color w:val="auto"/>
        </w:rPr>
        <w:t>Written Consent</w:t>
      </w:r>
      <w:r>
        <w:rPr>
          <w:rFonts w:ascii="Times New Roman" w:cs="Times New Roman" w:eastAsia="Times New Roman" w:hAnsi="Times New Roman"/>
          <w:sz w:val="17"/>
          <w:szCs w:val="17"/>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49" w:lineRule="exact"/>
        <w:rPr>
          <w:sz w:val="20"/>
          <w:szCs w:val="20"/>
          <w:color w:val="auto"/>
        </w:rPr>
      </w:pPr>
    </w:p>
    <w:p>
      <w:pPr>
        <w:jc w:val="both"/>
        <w:ind w:right="440"/>
        <w:spacing w:after="0" w:line="255" w:lineRule="auto"/>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u w:val="single" w:color="auto"/>
          <w:color w:val="auto"/>
        </w:rPr>
        <w:t>Remote Meetings</w:t>
      </w:r>
      <w:r>
        <w:rPr>
          <w:rFonts w:ascii="Times New Roman" w:cs="Times New Roman" w:eastAsia="Times New Roman" w:hAnsi="Times New Roman"/>
          <w:sz w:val="17"/>
          <w:szCs w:val="17"/>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74"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 xml:space="preserve">Section 2.11.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When any vacancy occurs among the directors, the remaining members of the Board may appoint a director to fill such vacancy at any regular meeting of the Board, or at a special meeting called for that purpose.</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u w:val="single" w:color="auto"/>
          <w:color w:val="auto"/>
        </w:rPr>
        <w:t>ARTICLE III</w:t>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u w:val="single" w:color="auto"/>
          <w:color w:val="auto"/>
        </w:rPr>
        <w:t>Committees</w:t>
      </w:r>
    </w:p>
    <w:p>
      <w:pPr>
        <w:spacing w:after="0" w:line="18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Advisory Board of Directors</w:t>
      </w:r>
      <w:r>
        <w:rPr>
          <w:rFonts w:ascii="Times New Roman" w:cs="Times New Roman" w:eastAsia="Times New Roman" w:hAnsi="Times New Roman"/>
          <w:sz w:val="17"/>
          <w:szCs w:val="17"/>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8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Trust Audit Committee</w:t>
      </w:r>
      <w:r>
        <w:rPr>
          <w:rFonts w:ascii="Times New Roman" w:cs="Times New Roman" w:eastAsia="Times New Roman" w:hAnsi="Times New Roman"/>
          <w:sz w:val="17"/>
          <w:szCs w:val="17"/>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Audit Committee of the financial holding company that is the ultimate parent of this Association, fulfilling the function of the trust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1257935</wp:posOffset>
            </wp:positionV>
            <wp:extent cx="7185660"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60"/>
          </w:cols>
          <w:pgMar w:left="300" w:top="1056" w:right="4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502285</wp:posOffset>
            </wp:positionV>
            <wp:extent cx="718566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86" w:name="page87"/>
    <w:bookmarkEnd w:id="86"/>
    <w:p>
      <w:pPr>
        <w:ind w:left="1140" w:right="400" w:hanging="6"/>
        <w:spacing w:after="0" w:line="272" w:lineRule="auto"/>
        <w:tabs>
          <w:tab w:leader="none" w:pos="152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Must not include any officers of the Association or an affiliate who participate significantly in the administration of the Association’s fiduciary activities; and</w:t>
      </w:r>
    </w:p>
    <w:p>
      <w:pPr>
        <w:spacing w:after="0" w:line="159" w:lineRule="exact"/>
        <w:rPr>
          <w:rFonts w:ascii="Times New Roman" w:cs="Times New Roman" w:eastAsia="Times New Roman" w:hAnsi="Times New Roman"/>
          <w:sz w:val="17"/>
          <w:szCs w:val="17"/>
          <w:color w:val="auto"/>
        </w:rPr>
      </w:pPr>
    </w:p>
    <w:p>
      <w:pPr>
        <w:ind w:left="1140" w:right="260" w:hanging="6"/>
        <w:spacing w:after="0" w:line="272" w:lineRule="auto"/>
        <w:tabs>
          <w:tab w:leader="none" w:pos="153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Must consist of a majority of members who are not also members of any committee to which the Board has delegated power to manage and control the fiduciary activities of the Association.</w:t>
      </w:r>
    </w:p>
    <w:p>
      <w:pPr>
        <w:spacing w:after="0" w:line="16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Executive Committee</w:t>
      </w:r>
      <w:r>
        <w:rPr>
          <w:rFonts w:ascii="Times New Roman" w:cs="Times New Roman" w:eastAsia="Times New Roman" w:hAnsi="Times New Roman"/>
          <w:sz w:val="17"/>
          <w:szCs w:val="17"/>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6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Trust Management Committee</w:t>
      </w:r>
      <w:r>
        <w:rPr>
          <w:rFonts w:ascii="Times New Roman" w:cs="Times New Roman" w:eastAsia="Times New Roman" w:hAnsi="Times New Roman"/>
          <w:sz w:val="17"/>
          <w:szCs w:val="17"/>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8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Other Committees</w:t>
      </w:r>
      <w:r>
        <w:rPr>
          <w:rFonts w:ascii="Times New Roman" w:cs="Times New Roman" w:eastAsia="Times New Roman" w:hAnsi="Times New Roman"/>
          <w:sz w:val="17"/>
          <w:szCs w:val="17"/>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Meetings, Minutes and Rules</w:t>
      </w:r>
      <w:r>
        <w:rPr>
          <w:rFonts w:ascii="Times New Roman" w:cs="Times New Roman" w:eastAsia="Times New Roman" w:hAnsi="Times New Roman"/>
          <w:sz w:val="17"/>
          <w:szCs w:val="17"/>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1232535</wp:posOffset>
            </wp:positionV>
            <wp:extent cx="718566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20"/>
          </w:cols>
          <w:pgMar w:left="300" w:top="1056" w:right="47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502285</wp:posOffset>
            </wp:positionV>
            <wp:extent cx="7185660"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color w:val="auto"/>
        </w:rPr>
        <w:t>its purpose, adopt its own rules for the exercise of any of its functions or authority.</w:t>
      </w: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u w:val="single" w:color="auto"/>
          <w:color w:val="auto"/>
        </w:rPr>
        <w:t>ARTICLE IV</w:t>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u w:val="single" w:color="auto"/>
          <w:color w:val="auto"/>
        </w:rPr>
        <w:t>Officers</w:t>
      </w:r>
    </w:p>
    <w:p>
      <w:pPr>
        <w:spacing w:after="0" w:line="20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7"/>
          <w:szCs w:val="17"/>
          <w:color w:val="auto"/>
        </w:rPr>
        <w:t>Section 4.1 Who Shall Constitut</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186"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17"/>
          <w:szCs w:val="17"/>
          <w:color w:val="auto"/>
        </w:rPr>
        <w:t>Section 4.2 Term of Offic</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180" w:lineRule="exact"/>
        <w:rPr>
          <w:sz w:val="20"/>
          <w:szCs w:val="20"/>
          <w:color w:val="auto"/>
        </w:rPr>
      </w:pPr>
    </w:p>
    <w:p>
      <w:pPr>
        <w:ind w:right="520"/>
        <w:spacing w:after="0" w:line="249"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Chairman of the Board</w:t>
      </w:r>
      <w:r>
        <w:rPr>
          <w:rFonts w:ascii="Times New Roman" w:cs="Times New Roman" w:eastAsia="Times New Roman" w:hAnsi="Times New Roman"/>
          <w:sz w:val="17"/>
          <w:szCs w:val="17"/>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u w:val="single" w:color="auto"/>
          <w:color w:val="auto"/>
        </w:rPr>
        <w:t>President</w:t>
      </w:r>
      <w:r>
        <w:rPr>
          <w:rFonts w:ascii="Times New Roman" w:cs="Times New Roman" w:eastAsia="Times New Roman" w:hAnsi="Times New Roman"/>
          <w:sz w:val="17"/>
          <w:szCs w:val="17"/>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u w:val="single" w:color="auto"/>
          <w:color w:val="auto"/>
        </w:rPr>
        <w:t>Vice President</w:t>
      </w:r>
      <w:r>
        <w:rPr>
          <w:rFonts w:ascii="Times New Roman" w:cs="Times New Roman" w:eastAsia="Times New Roman" w:hAnsi="Times New Roman"/>
          <w:sz w:val="17"/>
          <w:szCs w:val="17"/>
          <w:color w:val="auto"/>
        </w:rPr>
        <w:t>. The Board may appoint one or more Vice Presidents who shall have such powers and duties as may be assigned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1257935</wp:posOffset>
            </wp:positionV>
            <wp:extent cx="7185660"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080"/>
          </w:cols>
          <w:pgMar w:left="300" w:top="1056" w:right="51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499110</wp:posOffset>
            </wp:positionV>
            <wp:extent cx="7185660"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019"/>
          </w:cols>
          <w:pgMar w:left="1440" w:top="1045" w:right="1440" w:bottom="1440" w:gutter="0" w:footer="0" w:header="0"/>
        </w:sectPr>
      </w:pPr>
    </w:p>
    <w:bookmarkStart w:id="90" w:name="page91"/>
    <w:bookmarkEnd w:id="90"/>
    <w:p>
      <w:pPr>
        <w:ind w:right="800"/>
        <w:spacing w:after="0" w:line="272" w:lineRule="auto"/>
        <w:rPr>
          <w:sz w:val="20"/>
          <w:szCs w:val="20"/>
          <w:color w:val="auto"/>
        </w:rPr>
      </w:pPr>
      <w:r>
        <w:rPr>
          <w:rFonts w:ascii="Times New Roman" w:cs="Times New Roman" w:eastAsia="Times New Roman" w:hAnsi="Times New Roman"/>
          <w:sz w:val="17"/>
          <w:szCs w:val="17"/>
          <w:color w:val="auto"/>
        </w:rPr>
        <w:t>Board and to perform the duties of the President on those occasions when the President is absent, including presiding at any meeting of the Board in the absence of both the Chairman and President.</w:t>
      </w:r>
    </w:p>
    <w:p>
      <w:pPr>
        <w:spacing w:after="0" w:line="17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u w:val="single" w:color="auto"/>
          <w:color w:val="auto"/>
        </w:rPr>
        <w:t>Secretary</w:t>
      </w:r>
      <w:r>
        <w:rPr>
          <w:rFonts w:ascii="Times New Roman" w:cs="Times New Roman" w:eastAsia="Times New Roman" w:hAnsi="Times New Roman"/>
          <w:sz w:val="17"/>
          <w:szCs w:val="17"/>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86"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Other Officers</w:t>
      </w:r>
      <w:r>
        <w:rPr>
          <w:rFonts w:ascii="Times New Roman" w:cs="Times New Roman" w:eastAsia="Times New Roman" w:hAnsi="Times New Roman"/>
          <w:sz w:val="17"/>
          <w:szCs w:val="17"/>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ind w:right="440"/>
        <w:spacing w:after="0" w:line="250" w:lineRule="auto"/>
        <w:rPr>
          <w:sz w:val="20"/>
          <w:szCs w:val="20"/>
          <w:color w:val="auto"/>
        </w:rPr>
      </w:pPr>
      <w:r>
        <w:rPr>
          <w:rFonts w:ascii="Times New Roman" w:cs="Times New Roman" w:eastAsia="Times New Roman" w:hAnsi="Times New Roman"/>
          <w:sz w:val="17"/>
          <w:szCs w:val="17"/>
          <w:color w:val="auto"/>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39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u w:val="single" w:color="auto"/>
          <w:color w:val="auto"/>
        </w:rPr>
        <w:t>ARTICLE V</w:t>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u w:val="single" w:color="auto"/>
          <w:color w:val="auto"/>
        </w:rPr>
        <w:t>Stock</w:t>
      </w:r>
    </w:p>
    <w:p>
      <w:pPr>
        <w:spacing w:after="0" w:line="20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1055370</wp:posOffset>
            </wp:positionV>
            <wp:extent cx="718566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499110</wp:posOffset>
            </wp:positionV>
            <wp:extent cx="718566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019"/>
          </w:cols>
          <w:pgMar w:left="1440" w:top="1045"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t>Association for stock transfers, voting at shareholder meetings, and related matters, and to protect it against fraudulent transfers.</w:t>
      </w:r>
    </w:p>
    <w:p>
      <w:pPr>
        <w:spacing w:after="0" w:line="24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u w:val="single" w:color="auto"/>
          <w:color w:val="auto"/>
        </w:rPr>
        <w:t>ARTICLE VI</w:t>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u w:val="single" w:color="auto"/>
          <w:color w:val="auto"/>
        </w:rPr>
        <w:t>Corporate Seal</w:t>
      </w:r>
    </w:p>
    <w:p>
      <w:pPr>
        <w:spacing w:after="0" w:line="207"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7"/>
          <w:szCs w:val="17"/>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Miscellaneous Provisions</w:t>
      </w:r>
    </w:p>
    <w:p>
      <w:pPr>
        <w:spacing w:after="0" w:line="216"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Execution of Instruments</w:t>
      </w:r>
      <w:r>
        <w:rPr>
          <w:rFonts w:ascii="Times New Roman" w:cs="Times New Roman" w:eastAsia="Times New Roman" w:hAnsi="Times New Roman"/>
          <w:sz w:val="17"/>
          <w:szCs w:val="17"/>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Records</w:t>
      </w:r>
      <w:r>
        <w:rPr>
          <w:rFonts w:ascii="Times New Roman" w:cs="Times New Roman" w:eastAsia="Times New Roman" w:hAnsi="Times New Roman"/>
          <w:sz w:val="17"/>
          <w:szCs w:val="17"/>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74" w:lineRule="exact"/>
        <w:rPr>
          <w:sz w:val="20"/>
          <w:szCs w:val="20"/>
          <w:color w:val="auto"/>
        </w:rPr>
      </w:pPr>
    </w:p>
    <w:p>
      <w:pPr>
        <w:ind w:right="740"/>
        <w:spacing w:after="0" w:line="272"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Trust Files</w:t>
      </w:r>
      <w:r>
        <w:rPr>
          <w:rFonts w:ascii="Times New Roman" w:cs="Times New Roman" w:eastAsia="Times New Roman" w:hAnsi="Times New Roman"/>
          <w:sz w:val="17"/>
          <w:szCs w:val="17"/>
          <w:color w:val="auto"/>
        </w:rPr>
        <w:t>. There shall be maintained in the Association files all fiduciary records necessary to assure that its fiduciary responsibilities have been properly undertaken and discharged.</w:t>
      </w:r>
    </w:p>
    <w:p>
      <w:pPr>
        <w:spacing w:after="0" w:line="160" w:lineRule="exact"/>
        <w:rPr>
          <w:sz w:val="20"/>
          <w:szCs w:val="20"/>
          <w:color w:val="auto"/>
        </w:rPr>
      </w:pPr>
    </w:p>
    <w:p>
      <w:pPr>
        <w:ind w:right="680"/>
        <w:spacing w:after="0" w:line="272" w:lineRule="auto"/>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u w:val="single" w:color="auto"/>
          <w:color w:val="auto"/>
        </w:rPr>
        <w:t>Trust Investments</w:t>
      </w:r>
      <w:r>
        <w:rPr>
          <w:rFonts w:ascii="Times New Roman" w:cs="Times New Roman" w:eastAsia="Times New Roman" w:hAnsi="Times New Roman"/>
          <w:sz w:val="17"/>
          <w:szCs w:val="17"/>
          <w:color w:val="auto"/>
        </w:rPr>
        <w:t>. Funds held in a fiduciary capacity shall be invested according to the instrument establishing the fiduciary relationship and according to law. Where such instrument does not specify the character and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991235</wp:posOffset>
            </wp:positionV>
            <wp:extent cx="7185660"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80"/>
          </w:cols>
          <w:pgMar w:left="300" w:top="1056" w:right="31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502285</wp:posOffset>
            </wp:positionV>
            <wp:extent cx="7185660"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94" w:name="page95"/>
    <w:bookmarkEnd w:id="94"/>
    <w:p>
      <w:pPr>
        <w:ind w:right="1040"/>
        <w:spacing w:after="0" w:line="272" w:lineRule="auto"/>
        <w:rPr>
          <w:sz w:val="20"/>
          <w:szCs w:val="20"/>
          <w:color w:val="auto"/>
        </w:rPr>
      </w:pPr>
      <w:r>
        <w:rPr>
          <w:rFonts w:ascii="Times New Roman" w:cs="Times New Roman" w:eastAsia="Times New Roman" w:hAnsi="Times New Roman"/>
          <w:sz w:val="17"/>
          <w:szCs w:val="17"/>
          <w:color w:val="auto"/>
        </w:rPr>
        <w:t>of investments to be made and does not vest in the Association a discretion in the matter, funds held pursuant to such instrument shall be invested in investments in which corporate fiduciaries may invest under law.</w:t>
      </w:r>
    </w:p>
    <w:p>
      <w:pPr>
        <w:spacing w:after="0" w:line="14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 xml:space="preserve">Section 7.5.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2"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7"/>
          <w:szCs w:val="17"/>
          <w:color w:val="auto"/>
        </w:rPr>
        <w:t>Except where specified otherwise in these Bylaws, prior notice shall be proper if given not more than 30 days nor less than 10 days prior to the event for which notice is given.</w:t>
      </w:r>
    </w:p>
    <w:p>
      <w:pPr>
        <w:spacing w:after="0" w:line="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u w:val="single" w:color="auto"/>
          <w:color w:val="auto"/>
        </w:rPr>
        <w:t>ARTICLE VIII</w:t>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u w:val="single" w:color="auto"/>
          <w:color w:val="auto"/>
        </w:rPr>
        <w:t>Indemnification</w:t>
      </w:r>
    </w:p>
    <w:p>
      <w:pPr>
        <w:spacing w:after="0" w:line="18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w:t>
      </w:r>
    </w:p>
    <w:p>
      <w:pPr>
        <w:ind w:right="500"/>
        <w:spacing w:after="0" w:line="237" w:lineRule="auto"/>
        <w:rPr>
          <w:sz w:val="20"/>
          <w:szCs w:val="20"/>
          <w:color w:val="auto"/>
        </w:rPr>
      </w:pPr>
      <w:r>
        <w:rPr>
          <w:rFonts w:ascii="Times New Roman" w:cs="Times New Roman" w:eastAsia="Times New Roman" w:hAnsi="Times New Roman"/>
          <w:sz w:val="17"/>
          <w:szCs w:val="17"/>
          <w:color w:val="auto"/>
        </w:rPr>
        <w:t>C.F.R. § 7.2014 and shall exclude coverage of liability for a formal order assessing civil money penalties against an institution-affiliated party, as defined at 12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U.S.C. § 1813(u).</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8.2. Notwithstanding Section 8.1, however, (a) any indemnification payments to an institution-affiliated party, as defined at 12</w:t>
      </w:r>
    </w:p>
    <w:p>
      <w:pPr>
        <w:spacing w:after="0" w:line="16"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7"/>
          <w:szCs w:val="17"/>
          <w:color w:val="auto"/>
        </w:rPr>
        <w:t>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1238885</wp:posOffset>
            </wp:positionV>
            <wp:extent cx="718566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260"/>
          </w:cols>
          <w:pgMar w:left="300" w:top="1056"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499110</wp:posOffset>
            </wp:positionV>
            <wp:extent cx="7185660"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9019"/>
          </w:cols>
          <w:pgMar w:left="1440" w:top="1045" w:right="1440" w:bottom="1440" w:gutter="0" w:footer="0" w:header="0"/>
        </w:sectPr>
      </w:pPr>
    </w:p>
    <w:bookmarkStart w:id="96" w:name="page97"/>
    <w:bookmarkEnd w:id="96"/>
    <w:p>
      <w:pPr>
        <w:jc w:val="center"/>
        <w:ind w:right="-179"/>
        <w:spacing w:after="0"/>
        <w:rPr>
          <w:sz w:val="20"/>
          <w:szCs w:val="20"/>
          <w:color w:val="auto"/>
        </w:rPr>
      </w:pPr>
      <w:r>
        <w:rPr>
          <w:rFonts w:ascii="Times New Roman" w:cs="Times New Roman" w:eastAsia="Times New Roman" w:hAnsi="Times New Roman"/>
          <w:sz w:val="17"/>
          <w:szCs w:val="17"/>
          <w:u w:val="single" w:color="auto"/>
          <w:color w:val="auto"/>
        </w:rPr>
        <w:t>ARTICLE IX</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u w:val="single" w:color="auto"/>
          <w:color w:val="auto"/>
        </w:rPr>
        <w:t>Bylaws: Interpretation and Amendment</w:t>
      </w:r>
    </w:p>
    <w:p>
      <w:pPr>
        <w:spacing w:after="0" w:line="196"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7"/>
          <w:szCs w:val="17"/>
          <w:color w:val="auto"/>
        </w:rPr>
        <w:t>Section 9.1. These Bylaws shall be interpreted in accordance with and subject to appropriate provisions of law, and may be added to, altered, amended, or repealed, at any regular or special meeting of the Board.</w:t>
      </w:r>
    </w:p>
    <w:p>
      <w:pPr>
        <w:spacing w:after="0" w:line="1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0" w:lineRule="exact"/>
        <w:rPr>
          <w:sz w:val="20"/>
          <w:szCs w:val="20"/>
          <w:color w:val="auto"/>
        </w:rPr>
      </w:pPr>
    </w:p>
    <w:p>
      <w:pPr>
        <w:spacing w:after="0" w:line="2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u w:val="single" w:color="auto"/>
          <w:color w:val="auto"/>
        </w:rPr>
        <w:t>ARTICLE X</w:t>
      </w:r>
    </w:p>
    <w:p>
      <w:pPr>
        <w:spacing w:after="0" w:line="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u w:val="single" w:color="auto"/>
          <w:color w:val="auto"/>
        </w:rPr>
        <w:t>Miscellaneous Provisions</w:t>
      </w:r>
    </w:p>
    <w:p>
      <w:pPr>
        <w:spacing w:after="0" w:line="185" w:lineRule="exact"/>
        <w:rPr>
          <w:sz w:val="20"/>
          <w:szCs w:val="20"/>
          <w:color w:val="auto"/>
        </w:rPr>
      </w:pPr>
    </w:p>
    <w:p>
      <w:pPr>
        <w:ind w:right="800"/>
        <w:spacing w:after="0" w:line="272"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Association shall begin on the first day of January in each year and shall end on the thirty-first day of December following.</w:t>
      </w:r>
    </w:p>
    <w:p>
      <w:pPr>
        <w:spacing w:after="0" w:line="16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2789555</wp:posOffset>
            </wp:positionV>
            <wp:extent cx="7185660" cy="39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1120"/>
          </w:cols>
          <w:pgMar w:left="300" w:top="104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t>(November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2023745</wp:posOffset>
            </wp:positionV>
            <wp:extent cx="718566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159"/>
          </w:cols>
          <w:pgMar w:left="300" w:top="1045" w:right="1440" w:bottom="1440" w:gutter="0" w:footer="0" w:header="0"/>
        </w:sectPr>
      </w:pPr>
    </w:p>
    <w:bookmarkStart w:id="98" w:name="page99"/>
    <w:bookmarkEnd w:id="98"/>
    <w:p>
      <w:pPr>
        <w:jc w:val="center"/>
        <w:ind w:right="-379"/>
        <w:spacing w:after="0"/>
        <w:rPr>
          <w:sz w:val="20"/>
          <w:szCs w:val="20"/>
          <w:color w:val="auto"/>
        </w:rPr>
      </w:pPr>
      <w:r>
        <w:rPr>
          <w:rFonts w:ascii="Times New Roman" w:cs="Times New Roman" w:eastAsia="Times New Roman" w:hAnsi="Times New Roman"/>
          <w:sz w:val="17"/>
          <w:szCs w:val="17"/>
          <w:b w:val="1"/>
          <w:bCs w:val="1"/>
          <w:u w:val="single" w:color="auto"/>
          <w:color w:val="auto"/>
        </w:rPr>
        <w:t>Exhibit 6</w:t>
      </w:r>
    </w:p>
    <w:p>
      <w:pPr>
        <w:spacing w:after="0" w:line="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CONSENT</w:t>
      </w:r>
    </w:p>
    <w:p>
      <w:pPr>
        <w:spacing w:after="0" w:line="379" w:lineRule="exact"/>
        <w:rPr>
          <w:sz w:val="20"/>
          <w:szCs w:val="20"/>
          <w:color w:val="auto"/>
        </w:rPr>
      </w:pPr>
    </w:p>
    <w:p>
      <w:pPr>
        <w:ind w:firstLine="751"/>
        <w:spacing w:after="0" w:line="255" w:lineRule="auto"/>
        <w:rPr>
          <w:sz w:val="20"/>
          <w:szCs w:val="20"/>
          <w:color w:val="auto"/>
        </w:rPr>
      </w:pPr>
      <w:r>
        <w:rPr>
          <w:rFonts w:ascii="Times New Roman" w:cs="Times New Roman" w:eastAsia="Times New Roman" w:hAnsi="Times New Roman"/>
          <w:sz w:val="17"/>
          <w:szCs w:val="17"/>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May 1, 2026</w:t>
      </w:r>
    </w:p>
    <w:p>
      <w:pPr>
        <w:spacing w:after="0" w:line="39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Leanne M. Duff</w:t>
      </w:r>
      <w:r>
        <w:rPr>
          <w:rFonts w:ascii="Times New Roman" w:cs="Times New Roman" w:eastAsia="Times New Roman" w:hAnsi="Times New Roman"/>
          <w:sz w:val="17"/>
          <w:szCs w:val="17"/>
          <w:color w:val="auto"/>
        </w:rPr>
        <w: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-7620</wp:posOffset>
            </wp:positionV>
            <wp:extent cx="2730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27305" cy="698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7"/>
          <w:szCs w:val="17"/>
          <w:color w:val="auto"/>
        </w:rPr>
        <w:t>Leanne M. Duffy</w:t>
      </w:r>
    </w:p>
    <w:p>
      <w:pPr>
        <w:ind w:left="4520"/>
        <w:spacing w:after="0"/>
        <w:rPr>
          <w:sz w:val="20"/>
          <w:szCs w:val="20"/>
          <w:color w:val="auto"/>
        </w:rPr>
      </w:pP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2012315</wp:posOffset>
            </wp:positionV>
            <wp:extent cx="7185660"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85660" cy="39370"/>
                    </a:xfrm>
                    <a:prstGeom prst="rect">
                      <a:avLst/>
                    </a:prstGeom>
                    <a:noFill/>
                  </pic:spPr>
                </pic:pic>
              </a:graphicData>
            </a:graphic>
          </wp:anchor>
        </w:drawing>
      </w:r>
    </w:p>
    <w:p>
      <w:pPr>
        <w:sectPr>
          <w:pgSz w:w="11900" w:h="16838" w:orient="portrait"/>
          <w:cols w:equalWidth="0" w:num="1">
            <w:col w:w="10860"/>
          </w:cols>
          <w:pgMar w:left="300" w:top="810" w:right="7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7</w:t>
      </w:r>
    </w:p>
    <w:p>
      <w:pPr>
        <w:spacing w:after="0" w:line="20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Statement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12/31/2025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($000’s)</w:t>
      </w:r>
    </w:p>
    <w:p>
      <w:pPr>
        <w:spacing w:after="0" w:line="214"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7"/>
          <w:szCs w:val="17"/>
          <w:b w:val="1"/>
          <w:bCs w:val="1"/>
          <w:color w:val="auto"/>
        </w:rPr>
        <w:t>12/31/2025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194"/>
        </w:trPr>
        <w:tc>
          <w:tcPr>
            <w:tcW w:w="2640" w:type="dxa"/>
            <w:vAlign w:val="bottom"/>
            <w:gridSpan w:val="4"/>
          </w:tcPr>
          <w:p>
            <w:pPr>
              <w:ind w:left="400"/>
              <w:spacing w:after="0" w:line="194" w:lineRule="exact"/>
              <w:rPr>
                <w:sz w:val="20"/>
                <w:szCs w:val="20"/>
                <w:color w:val="auto"/>
              </w:rPr>
            </w:pPr>
            <w:r>
              <w:rPr>
                <w:rFonts w:ascii="Times New Roman" w:cs="Times New Roman" w:eastAsia="Times New Roman" w:hAnsi="Times New Roman"/>
                <w:sz w:val="17"/>
                <w:szCs w:val="17"/>
                <w:color w:val="auto"/>
              </w:rPr>
              <w:t>Cash and Balances Due From</w:t>
            </w:r>
          </w:p>
        </w:tc>
        <w:tc>
          <w:tcPr>
            <w:tcW w:w="8640" w:type="dxa"/>
            <w:vAlign w:val="bottom"/>
            <w:gridSpan w:val="4"/>
          </w:tcPr>
          <w:p>
            <w:pPr>
              <w:jc w:val="right"/>
              <w:ind w:right="7574"/>
              <w:spacing w:after="0" w:line="194" w:lineRule="exact"/>
              <w:rPr>
                <w:sz w:val="20"/>
                <w:szCs w:val="20"/>
                <w:color w:val="auto"/>
              </w:rPr>
            </w:pPr>
            <w:r>
              <w:rPr>
                <w:rFonts w:ascii="Times New Roman" w:cs="Times New Roman" w:eastAsia="Times New Roman" w:hAnsi="Times New Roman"/>
                <w:sz w:val="17"/>
                <w:szCs w:val="17"/>
                <w:color w:val="auto"/>
              </w:rPr>
              <w:t>$ 2,035,855</w:t>
            </w:r>
          </w:p>
        </w:tc>
      </w:tr>
      <w:tr>
        <w:trPr>
          <w:trHeight w:val="194"/>
        </w:trPr>
        <w:tc>
          <w:tcPr>
            <w:tcW w:w="2640" w:type="dxa"/>
            <w:vAlign w:val="bottom"/>
            <w:gridSpan w:val="4"/>
          </w:tcPr>
          <w:p>
            <w:pPr>
              <w:ind w:left="680"/>
              <w:spacing w:after="0" w:line="194" w:lineRule="exact"/>
              <w:rPr>
                <w:sz w:val="20"/>
                <w:szCs w:val="20"/>
                <w:color w:val="auto"/>
              </w:rPr>
            </w:pPr>
            <w:r>
              <w:rPr>
                <w:rFonts w:ascii="Times New Roman" w:cs="Times New Roman" w:eastAsia="Times New Roman" w:hAnsi="Times New Roman"/>
                <w:sz w:val="17"/>
                <w:szCs w:val="17"/>
                <w:color w:val="auto"/>
              </w:rPr>
              <w:t>Depository Institutions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194"/>
        </w:trPr>
        <w:tc>
          <w:tcPr>
            <w:tcW w:w="1060" w:type="dxa"/>
            <w:vAlign w:val="bottom"/>
          </w:tcPr>
          <w:p>
            <w:pPr>
              <w:ind w:left="380"/>
              <w:spacing w:after="0" w:line="194" w:lineRule="exact"/>
              <w:rPr>
                <w:sz w:val="20"/>
                <w:szCs w:val="20"/>
                <w:color w:val="auto"/>
              </w:rPr>
            </w:pPr>
            <w:r>
              <w:rPr>
                <w:rFonts w:ascii="Times New Roman" w:cs="Times New Roman" w:eastAsia="Times New Roman" w:hAnsi="Times New Roman"/>
                <w:sz w:val="17"/>
                <w:szCs w:val="17"/>
                <w:color w:val="auto"/>
                <w:w w:val="98"/>
              </w:rPr>
              <w:t>Securities</w:t>
            </w:r>
          </w:p>
        </w:tc>
        <w:tc>
          <w:tcPr>
            <w:tcW w:w="260" w:type="dxa"/>
            <w:vAlign w:val="bottom"/>
          </w:tcPr>
          <w:p>
            <w:pPr>
              <w:spacing w:after="0"/>
              <w:rPr>
                <w:sz w:val="16"/>
                <w:szCs w:val="16"/>
                <w:color w:val="auto"/>
              </w:rPr>
            </w:pPr>
          </w:p>
        </w:tc>
        <w:tc>
          <w:tcPr>
            <w:tcW w:w="132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7"/>
                <w:szCs w:val="17"/>
                <w:color w:val="auto"/>
              </w:rPr>
              <w:t>4,696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194"/>
        </w:trPr>
        <w:tc>
          <w:tcPr>
            <w:tcW w:w="1680" w:type="dxa"/>
            <w:vAlign w:val="bottom"/>
            <w:gridSpan w:val="3"/>
          </w:tcPr>
          <w:p>
            <w:pPr>
              <w:ind w:left="380"/>
              <w:spacing w:after="0" w:line="194" w:lineRule="exact"/>
              <w:rPr>
                <w:sz w:val="20"/>
                <w:szCs w:val="20"/>
                <w:color w:val="auto"/>
              </w:rPr>
            </w:pPr>
            <w:r>
              <w:rPr>
                <w:rFonts w:ascii="Times New Roman" w:cs="Times New Roman" w:eastAsia="Times New Roman" w:hAnsi="Times New Roman"/>
                <w:sz w:val="17"/>
                <w:szCs w:val="17"/>
                <w:color w:val="auto"/>
              </w:rPr>
              <w:t>Federal Funds 0</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205"/>
        </w:trPr>
        <w:tc>
          <w:tcPr>
            <w:tcW w:w="3100" w:type="dxa"/>
            <w:vAlign w:val="bottom"/>
            <w:gridSpan w:val="7"/>
          </w:tcPr>
          <w:p>
            <w:pPr>
              <w:ind w:left="380"/>
              <w:spacing w:after="0"/>
              <w:rPr>
                <w:sz w:val="20"/>
                <w:szCs w:val="20"/>
                <w:color w:val="auto"/>
              </w:rPr>
            </w:pPr>
            <w:r>
              <w:rPr>
                <w:rFonts w:ascii="Times New Roman" w:cs="Times New Roman" w:eastAsia="Times New Roman" w:hAnsi="Times New Roman"/>
                <w:sz w:val="17"/>
                <w:szCs w:val="17"/>
                <w:color w:val="auto"/>
              </w:rPr>
              <w:t>Loans &amp; Lease Financing Receivables</w:t>
            </w:r>
          </w:p>
        </w:tc>
        <w:tc>
          <w:tcPr>
            <w:tcW w:w="8180" w:type="dxa"/>
            <w:vAlign w:val="bottom"/>
          </w:tcPr>
          <w:p>
            <w:pPr>
              <w:jc w:val="right"/>
              <w:ind w:right="7974"/>
              <w:spacing w:after="0"/>
              <w:rPr>
                <w:sz w:val="20"/>
                <w:szCs w:val="20"/>
                <w:color w:val="auto"/>
              </w:rPr>
            </w:pPr>
            <w:r>
              <w:rPr>
                <w:rFonts w:ascii="Times New Roman" w:cs="Times New Roman" w:eastAsia="Times New Roman" w:hAnsi="Times New Roman"/>
                <w:sz w:val="17"/>
                <w:szCs w:val="17"/>
                <w:color w:val="auto"/>
              </w:rPr>
              <w:t>0</w:t>
            </w:r>
          </w:p>
        </w:tc>
      </w:tr>
      <w:tr>
        <w:trPr>
          <w:trHeight w:val="194"/>
        </w:trPr>
        <w:tc>
          <w:tcPr>
            <w:tcW w:w="1320" w:type="dxa"/>
            <w:vAlign w:val="bottom"/>
            <w:gridSpan w:val="2"/>
          </w:tcPr>
          <w:p>
            <w:pPr>
              <w:ind w:left="380"/>
              <w:spacing w:after="0" w:line="194" w:lineRule="exact"/>
              <w:rPr>
                <w:sz w:val="20"/>
                <w:szCs w:val="20"/>
                <w:color w:val="auto"/>
              </w:rPr>
            </w:pPr>
            <w:r>
              <w:rPr>
                <w:rFonts w:ascii="Times New Roman" w:cs="Times New Roman" w:eastAsia="Times New Roman" w:hAnsi="Times New Roman"/>
                <w:sz w:val="17"/>
                <w:szCs w:val="17"/>
                <w:color w:val="auto"/>
              </w:rPr>
              <w:t>Fixed Assets</w:t>
            </w:r>
          </w:p>
        </w:tc>
        <w:tc>
          <w:tcPr>
            <w:tcW w:w="36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auto"/>
                <w:w w:val="93"/>
              </w:rPr>
              <w:t>623</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194"/>
        </w:trPr>
        <w:tc>
          <w:tcPr>
            <w:tcW w:w="1680" w:type="dxa"/>
            <w:vAlign w:val="bottom"/>
            <w:gridSpan w:val="3"/>
          </w:tcPr>
          <w:p>
            <w:pPr>
              <w:ind w:left="380"/>
              <w:spacing w:after="0" w:line="194" w:lineRule="exact"/>
              <w:rPr>
                <w:sz w:val="20"/>
                <w:szCs w:val="20"/>
                <w:color w:val="auto"/>
              </w:rPr>
            </w:pPr>
            <w:r>
              <w:rPr>
                <w:rFonts w:ascii="Times New Roman" w:cs="Times New Roman" w:eastAsia="Times New Roman" w:hAnsi="Times New Roman"/>
                <w:sz w:val="17"/>
                <w:szCs w:val="17"/>
                <w:color w:val="auto"/>
              </w:rPr>
              <w:t>Intangible Assets</w:t>
            </w:r>
          </w:p>
        </w:tc>
        <w:tc>
          <w:tcPr>
            <w:tcW w:w="96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574,084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196"/>
        </w:trPr>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Other Assets</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173,370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219"/>
        </w:trPr>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$2,788,628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80" w:type="dxa"/>
            <w:vAlign w:val="bottom"/>
          </w:tcPr>
          <w:p>
            <w:pPr>
              <w:spacing w:after="0"/>
              <w:rPr>
                <w:sz w:val="19"/>
                <w:szCs w:val="19"/>
                <w:color w:val="auto"/>
              </w:rPr>
            </w:pPr>
          </w:p>
        </w:tc>
      </w:tr>
      <w:tr>
        <w:trPr>
          <w:trHeight w:val="382"/>
        </w:trPr>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194"/>
        </w:trPr>
        <w:tc>
          <w:tcPr>
            <w:tcW w:w="1060" w:type="dxa"/>
            <w:vAlign w:val="bottom"/>
          </w:tcPr>
          <w:p>
            <w:pPr>
              <w:ind w:left="380"/>
              <w:spacing w:after="0" w:line="194" w:lineRule="exact"/>
              <w:rPr>
                <w:sz w:val="20"/>
                <w:szCs w:val="20"/>
                <w:color w:val="auto"/>
              </w:rPr>
            </w:pPr>
            <w:r>
              <w:rPr>
                <w:rFonts w:ascii="Times New Roman" w:cs="Times New Roman" w:eastAsia="Times New Roman" w:hAnsi="Times New Roman"/>
                <w:sz w:val="17"/>
                <w:szCs w:val="17"/>
                <w:color w:val="auto"/>
              </w:rPr>
              <w:t>Deposits</w:t>
            </w:r>
          </w:p>
        </w:tc>
        <w:tc>
          <w:tcPr>
            <w:tcW w:w="26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$0</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194"/>
        </w:trPr>
        <w:tc>
          <w:tcPr>
            <w:tcW w:w="1320" w:type="dxa"/>
            <w:vAlign w:val="bottom"/>
            <w:gridSpan w:val="2"/>
          </w:tcPr>
          <w:p>
            <w:pPr>
              <w:ind w:left="380"/>
              <w:spacing w:after="0" w:line="194" w:lineRule="exact"/>
              <w:rPr>
                <w:sz w:val="20"/>
                <w:szCs w:val="20"/>
                <w:color w:val="auto"/>
              </w:rPr>
            </w:pPr>
            <w:r>
              <w:rPr>
                <w:rFonts w:ascii="Times New Roman" w:cs="Times New Roman" w:eastAsia="Times New Roman" w:hAnsi="Times New Roman"/>
                <w:sz w:val="17"/>
                <w:szCs w:val="17"/>
                <w:color w:val="auto"/>
              </w:rPr>
              <w:t>Fed Funds</w:t>
            </w:r>
          </w:p>
        </w:tc>
        <w:tc>
          <w:tcPr>
            <w:tcW w:w="36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auto"/>
              </w:rPr>
              <w:t>0</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194"/>
        </w:trPr>
        <w:tc>
          <w:tcPr>
            <w:tcW w:w="2640" w:type="dxa"/>
            <w:vAlign w:val="bottom"/>
            <w:gridSpan w:val="4"/>
          </w:tcPr>
          <w:p>
            <w:pPr>
              <w:ind w:left="380"/>
              <w:spacing w:after="0" w:line="194" w:lineRule="exact"/>
              <w:rPr>
                <w:sz w:val="20"/>
                <w:szCs w:val="20"/>
                <w:color w:val="auto"/>
              </w:rPr>
            </w:pPr>
            <w:r>
              <w:rPr>
                <w:rFonts w:ascii="Times New Roman" w:cs="Times New Roman" w:eastAsia="Times New Roman" w:hAnsi="Times New Roman"/>
                <w:sz w:val="17"/>
                <w:szCs w:val="17"/>
                <w:color w:val="auto"/>
              </w:rPr>
              <w:t>Treasury Demand Notes 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194"/>
        </w:trPr>
        <w:tc>
          <w:tcPr>
            <w:tcW w:w="1680" w:type="dxa"/>
            <w:vAlign w:val="bottom"/>
            <w:gridSpan w:val="3"/>
          </w:tcPr>
          <w:p>
            <w:pPr>
              <w:ind w:left="380"/>
              <w:spacing w:after="0" w:line="194" w:lineRule="exact"/>
              <w:rPr>
                <w:sz w:val="20"/>
                <w:szCs w:val="20"/>
                <w:color w:val="auto"/>
              </w:rPr>
            </w:pPr>
            <w:r>
              <w:rPr>
                <w:rFonts w:ascii="Times New Roman" w:cs="Times New Roman" w:eastAsia="Times New Roman" w:hAnsi="Times New Roman"/>
                <w:sz w:val="17"/>
                <w:szCs w:val="17"/>
                <w:color w:val="auto"/>
              </w:rPr>
              <w:t>Trading Liabilities</w:t>
            </w:r>
          </w:p>
        </w:tc>
        <w:tc>
          <w:tcPr>
            <w:tcW w:w="96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194"/>
        </w:trPr>
        <w:tc>
          <w:tcPr>
            <w:tcW w:w="2640" w:type="dxa"/>
            <w:vAlign w:val="bottom"/>
            <w:gridSpan w:val="4"/>
          </w:tcPr>
          <w:p>
            <w:pPr>
              <w:ind w:left="380"/>
              <w:spacing w:after="0" w:line="194" w:lineRule="exact"/>
              <w:rPr>
                <w:sz w:val="20"/>
                <w:szCs w:val="20"/>
                <w:color w:val="auto"/>
              </w:rPr>
            </w:pPr>
            <w:r>
              <w:rPr>
                <w:rFonts w:ascii="Times New Roman" w:cs="Times New Roman" w:eastAsia="Times New Roman" w:hAnsi="Times New Roman"/>
                <w:sz w:val="17"/>
                <w:szCs w:val="17"/>
                <w:color w:val="auto"/>
              </w:rPr>
              <w:t>Other Borrowed Money 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194"/>
        </w:trPr>
        <w:tc>
          <w:tcPr>
            <w:tcW w:w="1320" w:type="dxa"/>
            <w:vAlign w:val="bottom"/>
            <w:gridSpan w:val="2"/>
          </w:tcPr>
          <w:p>
            <w:pPr>
              <w:ind w:left="380"/>
              <w:spacing w:after="0" w:line="194" w:lineRule="exact"/>
              <w:rPr>
                <w:sz w:val="20"/>
                <w:szCs w:val="20"/>
                <w:color w:val="auto"/>
              </w:rPr>
            </w:pPr>
            <w:r>
              <w:rPr>
                <w:rFonts w:ascii="Times New Roman" w:cs="Times New Roman" w:eastAsia="Times New Roman" w:hAnsi="Times New Roman"/>
                <w:sz w:val="17"/>
                <w:szCs w:val="17"/>
                <w:color w:val="auto"/>
              </w:rPr>
              <w:t>Acceptances</w:t>
            </w:r>
          </w:p>
        </w:tc>
        <w:tc>
          <w:tcPr>
            <w:tcW w:w="36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auto"/>
              </w:rPr>
              <w:t>0</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194"/>
        </w:trPr>
        <w:tc>
          <w:tcPr>
            <w:tcW w:w="3100" w:type="dxa"/>
            <w:vAlign w:val="bottom"/>
            <w:gridSpan w:val="7"/>
          </w:tcPr>
          <w:p>
            <w:pPr>
              <w:ind w:left="380"/>
              <w:spacing w:after="0" w:line="194" w:lineRule="exact"/>
              <w:rPr>
                <w:sz w:val="20"/>
                <w:szCs w:val="20"/>
                <w:color w:val="auto"/>
              </w:rPr>
            </w:pPr>
            <w:r>
              <w:rPr>
                <w:rFonts w:ascii="Times New Roman" w:cs="Times New Roman" w:eastAsia="Times New Roman" w:hAnsi="Times New Roman"/>
                <w:sz w:val="17"/>
                <w:szCs w:val="17"/>
                <w:color w:val="auto"/>
              </w:rPr>
              <w:t>Subordinated Notes and Debentures</w:t>
            </w:r>
          </w:p>
        </w:tc>
        <w:tc>
          <w:tcPr>
            <w:tcW w:w="8180" w:type="dxa"/>
            <w:vAlign w:val="bottom"/>
          </w:tcPr>
          <w:p>
            <w:pPr>
              <w:jc w:val="right"/>
              <w:ind w:right="7974"/>
              <w:spacing w:after="0" w:line="194" w:lineRule="exact"/>
              <w:rPr>
                <w:sz w:val="20"/>
                <w:szCs w:val="20"/>
                <w:color w:val="auto"/>
              </w:rPr>
            </w:pPr>
            <w:r>
              <w:rPr>
                <w:rFonts w:ascii="Times New Roman" w:cs="Times New Roman" w:eastAsia="Times New Roman" w:hAnsi="Times New Roman"/>
                <w:sz w:val="17"/>
                <w:szCs w:val="17"/>
                <w:color w:val="auto"/>
              </w:rPr>
              <w:t>0</w:t>
            </w:r>
          </w:p>
        </w:tc>
      </w:tr>
      <w:tr>
        <w:trPr>
          <w:trHeight w:val="207"/>
        </w:trPr>
        <w:tc>
          <w:tcPr>
            <w:tcW w:w="168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Other Liabilities</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237,596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80" w:type="dxa"/>
            <w:vAlign w:val="bottom"/>
          </w:tcPr>
          <w:p>
            <w:pPr>
              <w:spacing w:after="0"/>
              <w:rPr>
                <w:sz w:val="18"/>
                <w:szCs w:val="18"/>
                <w:color w:val="auto"/>
              </w:rPr>
            </w:pPr>
          </w:p>
        </w:tc>
      </w:tr>
      <w:tr>
        <w:trPr>
          <w:trHeight w:val="219"/>
        </w:trPr>
        <w:tc>
          <w:tcPr>
            <w:tcW w:w="1680" w:type="dxa"/>
            <w:vAlign w:val="bottom"/>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$237,596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80" w:type="dxa"/>
            <w:vAlign w:val="bottom"/>
          </w:tcPr>
          <w:p>
            <w:pPr>
              <w:spacing w:after="0"/>
              <w:rPr>
                <w:sz w:val="19"/>
                <w:szCs w:val="19"/>
                <w:color w:val="auto"/>
              </w:rPr>
            </w:pPr>
          </w:p>
        </w:tc>
      </w:tr>
      <w:tr>
        <w:trPr>
          <w:trHeight w:val="371"/>
        </w:trPr>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194"/>
        </w:trPr>
        <w:tc>
          <w:tcPr>
            <w:tcW w:w="2640" w:type="dxa"/>
            <w:vAlign w:val="bottom"/>
            <w:gridSpan w:val="4"/>
          </w:tcPr>
          <w:p>
            <w:pPr>
              <w:ind w:left="380"/>
              <w:spacing w:after="0" w:line="194" w:lineRule="exact"/>
              <w:rPr>
                <w:sz w:val="20"/>
                <w:szCs w:val="20"/>
                <w:color w:val="auto"/>
              </w:rPr>
            </w:pPr>
            <w:r>
              <w:rPr>
                <w:rFonts w:ascii="Times New Roman" w:cs="Times New Roman" w:eastAsia="Times New Roman" w:hAnsi="Times New Roman"/>
                <w:sz w:val="17"/>
                <w:szCs w:val="17"/>
                <w:color w:val="auto"/>
              </w:rPr>
              <w:t>Common and Preferred Stock</w:t>
            </w:r>
          </w:p>
        </w:tc>
        <w:tc>
          <w:tcPr>
            <w:tcW w:w="46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7"/>
                <w:szCs w:val="17"/>
                <w:color w:val="auto"/>
              </w:rPr>
              <w:t>200</w:t>
            </w:r>
          </w:p>
        </w:tc>
        <w:tc>
          <w:tcPr>
            <w:tcW w:w="8180" w:type="dxa"/>
            <w:vAlign w:val="bottom"/>
          </w:tcPr>
          <w:p>
            <w:pPr>
              <w:spacing w:after="0"/>
              <w:rPr>
                <w:sz w:val="16"/>
                <w:szCs w:val="16"/>
                <w:color w:val="auto"/>
              </w:rPr>
            </w:pPr>
          </w:p>
        </w:tc>
      </w:tr>
      <w:tr>
        <w:trPr>
          <w:trHeight w:val="194"/>
        </w:trPr>
        <w:tc>
          <w:tcPr>
            <w:tcW w:w="1060" w:type="dxa"/>
            <w:vAlign w:val="bottom"/>
          </w:tcPr>
          <w:p>
            <w:pPr>
              <w:ind w:left="380"/>
              <w:spacing w:after="0" w:line="194" w:lineRule="exact"/>
              <w:rPr>
                <w:sz w:val="20"/>
                <w:szCs w:val="20"/>
                <w:color w:val="auto"/>
              </w:rPr>
            </w:pPr>
            <w:r>
              <w:rPr>
                <w:rFonts w:ascii="Times New Roman" w:cs="Times New Roman" w:eastAsia="Times New Roman" w:hAnsi="Times New Roman"/>
                <w:sz w:val="17"/>
                <w:szCs w:val="17"/>
                <w:color w:val="auto"/>
              </w:rPr>
              <w:t>Surplus</w:t>
            </w:r>
          </w:p>
        </w:tc>
        <w:tc>
          <w:tcPr>
            <w:tcW w:w="15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7"/>
                <w:szCs w:val="17"/>
                <w:color w:val="auto"/>
              </w:rPr>
              <w:t>1,171,635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205"/>
        </w:trPr>
        <w:tc>
          <w:tcPr>
            <w:tcW w:w="168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Undivided Profits</w:t>
            </w:r>
          </w:p>
        </w:tc>
        <w:tc>
          <w:tcPr>
            <w:tcW w:w="9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1,379,197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182"/>
        </w:trPr>
        <w:tc>
          <w:tcPr>
            <w:tcW w:w="2640" w:type="dxa"/>
            <w:vAlign w:val="bottom"/>
            <w:gridSpan w:val="4"/>
          </w:tcPr>
          <w:p>
            <w:pPr>
              <w:ind w:left="380"/>
              <w:spacing w:after="0" w:line="182" w:lineRule="exact"/>
              <w:rPr>
                <w:sz w:val="20"/>
                <w:szCs w:val="20"/>
                <w:color w:val="auto"/>
              </w:rPr>
            </w:pPr>
            <w:r>
              <w:rPr>
                <w:rFonts w:ascii="Times New Roman" w:cs="Times New Roman" w:eastAsia="Times New Roman" w:hAnsi="Times New Roman"/>
                <w:sz w:val="17"/>
                <w:szCs w:val="17"/>
                <w:color w:val="auto"/>
              </w:rPr>
              <w:t>Minority Interest in Subsidiaries</w:t>
            </w:r>
          </w:p>
        </w:tc>
        <w:tc>
          <w:tcPr>
            <w:tcW w:w="24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7"/>
                <w:szCs w:val="17"/>
                <w:color w:val="auto"/>
                <w:w w:val="70"/>
              </w:rPr>
              <w:t>0</w:t>
            </w:r>
          </w:p>
        </w:tc>
        <w:tc>
          <w:tcPr>
            <w:tcW w:w="220" w:type="dxa"/>
            <w:vAlign w:val="bottom"/>
          </w:tcPr>
          <w:p>
            <w:pPr>
              <w:spacing w:after="0"/>
              <w:rPr>
                <w:sz w:val="15"/>
                <w:szCs w:val="15"/>
                <w:color w:val="auto"/>
              </w:rPr>
            </w:pPr>
          </w:p>
        </w:tc>
        <w:tc>
          <w:tcPr>
            <w:tcW w:w="8180" w:type="dxa"/>
            <w:vAlign w:val="bottom"/>
          </w:tcPr>
          <w:p>
            <w:pPr>
              <w:spacing w:after="0"/>
              <w:rPr>
                <w:sz w:val="15"/>
                <w:szCs w:val="15"/>
                <w:color w:val="auto"/>
              </w:rPr>
            </w:pPr>
          </w:p>
        </w:tc>
      </w:tr>
      <w:tr>
        <w:trPr>
          <w:trHeight w:val="20"/>
        </w:trPr>
        <w:tc>
          <w:tcPr>
            <w:tcW w:w="2800" w:type="dxa"/>
            <w:vAlign w:val="bottom"/>
            <w:gridSpan w:val="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0" w:type="dxa"/>
            <w:vAlign w:val="bottom"/>
            <w:gridSpan w:val="2"/>
          </w:tcPr>
          <w:p>
            <w:pPr>
              <w:spacing w:after="0" w:line="20" w:lineRule="exact"/>
              <w:rPr>
                <w:sz w:val="1"/>
                <w:szCs w:val="1"/>
                <w:color w:val="auto"/>
              </w:rPr>
            </w:pPr>
          </w:p>
        </w:tc>
      </w:tr>
      <w:tr>
        <w:trPr>
          <w:trHeight w:val="213"/>
        </w:trPr>
        <w:tc>
          <w:tcPr>
            <w:tcW w:w="11280" w:type="dxa"/>
            <w:vAlign w:val="bottom"/>
            <w:gridSpan w:val="8"/>
          </w:tcPr>
          <w:p>
            <w:pPr>
              <w:ind w:left="760"/>
              <w:spacing w:after="0"/>
              <w:rPr>
                <w:sz w:val="20"/>
                <w:szCs w:val="20"/>
                <w:color w:val="auto"/>
              </w:rPr>
            </w:pPr>
            <w:r>
              <w:rPr>
                <w:rFonts w:ascii="Times New Roman" w:cs="Times New Roman" w:eastAsia="Times New Roman" w:hAnsi="Times New Roman"/>
                <w:sz w:val="17"/>
                <w:szCs w:val="17"/>
                <w:b w:val="1"/>
                <w:bCs w:val="1"/>
                <w:color w:val="auto"/>
              </w:rPr>
              <w:t>Total Equity Capital  $2,551,032</w:t>
            </w:r>
          </w:p>
        </w:tc>
      </w:tr>
      <w:tr>
        <w:trPr>
          <w:trHeight w:val="398"/>
        </w:trPr>
        <w:tc>
          <w:tcPr>
            <w:tcW w:w="26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Equity Capital</w:t>
            </w:r>
          </w:p>
        </w:tc>
        <w:tc>
          <w:tcPr>
            <w:tcW w:w="8640" w:type="dxa"/>
            <w:vAlign w:val="bottom"/>
            <w:gridSpan w:val="4"/>
          </w:tcPr>
          <w:p>
            <w:pPr>
              <w:jc w:val="right"/>
              <w:ind w:right="7794"/>
              <w:spacing w:after="0"/>
              <w:rPr>
                <w:sz w:val="20"/>
                <w:szCs w:val="20"/>
                <w:color w:val="auto"/>
              </w:rPr>
            </w:pPr>
            <w:r>
              <w:rPr>
                <w:rFonts w:ascii="Times New Roman" w:cs="Times New Roman" w:eastAsia="Times New Roman" w:hAnsi="Times New Roman"/>
                <w:sz w:val="17"/>
                <w:szCs w:val="17"/>
                <w:b w:val="1"/>
                <w:bCs w:val="1"/>
                <w:color w:val="auto"/>
                <w:w w:val="96"/>
              </w:rPr>
              <w:t>$2,788,628</w:t>
            </w:r>
          </w:p>
        </w:tc>
      </w:tr>
      <w:tr>
        <w:trPr>
          <w:trHeight w:val="2805"/>
        </w:trPr>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-26035</wp:posOffset>
            </wp:positionV>
            <wp:extent cx="3238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100" w:name="page101"/>
    <w:bookmarkEnd w:id="100"/>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BROWN &amp; BROWN, INC.</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3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Connection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8"/>
              </w:rPr>
              <w:t>Security</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or Carry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gridSpan w:val="7"/>
          </w:tcPr>
          <w:p>
            <w:pPr>
              <w:ind w:left="6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40" w:type="dxa"/>
            <w:vAlign w:val="bottom"/>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Equity</w:t>
            </w:r>
          </w:p>
        </w:tc>
        <w:tc>
          <w:tcPr>
            <w:tcW w:w="40" w:type="dxa"/>
            <w:vAlign w:val="bottom"/>
          </w:tcPr>
          <w:p>
            <w:pPr>
              <w:spacing w:after="0"/>
              <w:rPr>
                <w:sz w:val="8"/>
                <w:szCs w:val="8"/>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$0.10 per</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Stock or</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4" w:lineRule="exact"/>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Other</w:t>
            </w:r>
          </w:p>
        </w:tc>
        <w:tc>
          <w:tcPr>
            <w:tcW w:w="40" w:type="dxa"/>
            <w:vAlign w:val="bottom"/>
          </w:tcPr>
          <w:p>
            <w:pPr>
              <w:spacing w:after="0"/>
              <w:rPr>
                <w:sz w:val="8"/>
                <w:szCs w:val="8"/>
                <w:color w:val="auto"/>
              </w:rPr>
            </w:pPr>
          </w:p>
        </w:tc>
        <w:tc>
          <w:tcPr>
            <w:tcW w:w="780" w:type="dxa"/>
            <w:vAlign w:val="bottom"/>
            <w:vMerge w:val="restart"/>
            <w:shd w:val="clear" w:color="auto" w:fill="E7E7E2"/>
          </w:tcPr>
          <w:p>
            <w:pPr>
              <w:spacing w:after="0" w:line="194"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4"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-2731135</wp:posOffset>
            </wp:positionV>
            <wp:extent cx="7212330" cy="43002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212330" cy="43002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Fees</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ind w:left="18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95"/>
        </w:trPr>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r>
      <w:tr>
        <w:trPr>
          <w:trHeight w:val="194"/>
        </w:trPr>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r>
      <w:tr>
        <w:trPr>
          <w:trHeight w:val="226"/>
        </w:trPr>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r>
      <w:tr>
        <w:trPr>
          <w:trHeight w:val="237"/>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7"/>
                <w:szCs w:val="17"/>
                <w:color w:val="auto"/>
              </w:rPr>
              <w:t>Total Offering Amounts:</w:t>
            </w:r>
          </w:p>
        </w:tc>
        <w:tc>
          <w:tcPr>
            <w:tcW w:w="1740" w:type="dxa"/>
            <w:vAlign w:val="bottom"/>
            <w:gridSpan w:val="4"/>
          </w:tcPr>
          <w:p>
            <w:pPr>
              <w:jc w:val="right"/>
              <w:ind w:right="20"/>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7"/>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7"/>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7"/>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bl>
    <w:p>
      <w:pPr>
        <w:spacing w:after="0" w:line="25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7" w:lineRule="exact"/>
        <w:rPr>
          <w:sz w:val="20"/>
          <w:szCs w:val="20"/>
          <w:color w:val="auto"/>
        </w:rPr>
      </w:pPr>
    </w:p>
    <w:p>
      <w:pPr>
        <w:ind w:left="220" w:right="140"/>
        <w:spacing w:after="0" w:line="242" w:lineRule="auto"/>
        <w:rPr>
          <w:sz w:val="20"/>
          <w:szCs w:val="20"/>
          <w:color w:val="auto"/>
        </w:rPr>
      </w:pPr>
      <w:r>
        <w:rPr>
          <w:rFonts w:ascii="Arial" w:cs="Arial" w:eastAsia="Arial" w:hAnsi="Arial"/>
          <w:sz w:val="17"/>
          <w:szCs w:val="17"/>
          <w:color w:val="auto"/>
        </w:rPr>
        <w:t>An indeterminate aggregate offering or number of securities of each class identified is being registered as may be offered from time to time at indeterminate prices. Pursuant to Rule 416 under the Securities Act of 1933, as amended (the "Securities Act"), this registration statement also covers any additional shares that may be offered or issued in connection with any stock split, stock dividend or similar transaction. The securities registered hereunder also include an indeterminate number of securities as may from time to time be issued upon conversion or exchange for debt securities or upon exercise of the warrants, as the case may be. Separate consideration may or may not be received for securities that are issuable on exercise, conversion or exchange of other securities. Warrants to purchase debt securities or common stock of the registrant may be sold separately or with debt securities or common stock of the registrant. In accordance with Rules 456(b) and 457(r) under the Securities Act, the registrant is deferring payment of registration fees and will pay such fees on a "pay-as-you-go" basis in advance of or in connection with an offering of securities registered under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144385"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81915</wp:posOffset>
            </wp:positionV>
            <wp:extent cx="7144385" cy="393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81915</wp:posOffset>
            </wp:positionV>
            <wp:extent cx="7144385"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260" w:type="dxa"/>
            <w:vAlign w:val="bottom"/>
            <w:tcBorders>
              <w:bottom w:val="single" w:sz="8" w:color="auto"/>
            </w:tcBorders>
            <w:gridSpan w:val="7"/>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32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4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5"/>
                <w:szCs w:val="15"/>
                <w:color w:val="auto"/>
              </w:rPr>
            </w:pPr>
          </w:p>
        </w:tc>
        <w:tc>
          <w:tcPr>
            <w:tcW w:w="9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Source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-1021080</wp:posOffset>
            </wp:positionV>
            <wp:extent cx="12700" cy="22574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12700" cy="22574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-1021080</wp:posOffset>
            </wp:positionV>
            <wp:extent cx="12700" cy="22574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12700" cy="225742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-116840</wp:posOffset>
            </wp:positionV>
            <wp:extent cx="7105650" cy="259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05650" cy="2597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-116840</wp:posOffset>
            </wp:positionV>
            <wp:extent cx="7105650" cy="259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05650" cy="2597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-116840</wp:posOffset>
            </wp:positionV>
            <wp:extent cx="7105650" cy="259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05650" cy="2597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22860</wp:posOffset>
            </wp:positionV>
            <wp:extent cx="7105650" cy="1003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05650" cy="100330"/>
                    </a:xfrm>
                    <a:prstGeom prst="rect">
                      <a:avLst/>
                    </a:prstGeom>
                    <a:noFill/>
                  </pic:spPr>
                </pic:pic>
              </a:graphicData>
            </a:graphic>
          </wp:anchor>
        </w:drawing>
      </w:r>
    </w:p>
    <w:p>
      <w:pPr>
        <w:sectPr>
          <w:pgSz w:w="11900" w:h="16838" w:orient="portrait"/>
          <w:cols w:equalWidth="0" w:num="1">
            <w:col w:w="11360"/>
          </w:cols>
          <w:pgMar w:left="300" w:top="140" w:right="239" w:bottom="0" w:gutter="0" w:footer="0" w:header="0"/>
        </w:sectPr>
      </w:pPr>
    </w:p>
    <w:bookmarkStart w:id="101" w:name="page102"/>
    <w:bookmarkEnd w:id="101"/>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7165975" cy="2762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65975" cy="2762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8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68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20"/>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2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vMerge w:val="continue"/>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8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E7E7E2"/>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lowerRoman"/>
      <w:start w:val="2"/>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25">
    <w:nsid w:val="7A6D8D3C"/>
    <w:multiLevelType w:val="hybridMultilevel"/>
    <w:lvl w:ilvl="0">
      <w:lvlJc w:val="left"/>
      <w:lvlText w:val="•"/>
      <w:numFmt w:val="bullet"/>
      <w:start w:val="1"/>
    </w:lvl>
    <w:lvl w:ilvl="1">
      <w:lvlJc w:val="left"/>
      <w:lvlText w:val="(%2)"/>
      <w:numFmt w:val="lowerRoman"/>
      <w:start w:val="1"/>
    </w:lvl>
    <w:lvl w:ilvl="2">
      <w:lvlJc w:val="left"/>
      <w:lvlText w:val="%3"/>
      <w:numFmt w:val="lowerRoman"/>
      <w:start w:val="1"/>
    </w:lvl>
  </w:abstractNum>
  <w:abstractNum w:abstractNumId="26">
    <w:nsid w:val="4B588F54"/>
    <w:multiLevelType w:val="hybridMultilevel"/>
    <w:lvl w:ilvl="0">
      <w:lvlJc w:val="left"/>
      <w:lvlText w:val="•"/>
      <w:numFmt w:val="bullet"/>
      <w:start w:val="1"/>
    </w:lvl>
    <w:lvl w:ilvl="1">
      <w:lvlJc w:val="left"/>
      <w:lvlText w:val="(%2)"/>
      <w:numFmt w:val="lowerRoman"/>
      <w:start w:val="4"/>
    </w:lvl>
  </w:abstractNum>
  <w:abstractNum w:abstractNumId="27">
    <w:nsid w:val="542289EC"/>
    <w:multiLevelType w:val="hybridMultilevel"/>
    <w:lvl w:ilvl="0">
      <w:lvlJc w:val="left"/>
      <w:lvlText w:val="•"/>
      <w:numFmt w:val="bullet"/>
      <w:start w:val="1"/>
    </w:lvl>
    <w:lvl w:ilvl="1">
      <w:lvlJc w:val="left"/>
      <w:lvlText w:val="(%2)"/>
      <w:numFmt w:val="lowerRoman"/>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lowerRoman"/>
      <w:start w:val="2"/>
    </w:lvl>
  </w:abstractNum>
  <w:abstractNum w:abstractNumId="38">
    <w:nsid w:val="75C6C33A"/>
    <w:multiLevelType w:val="hybridMultilevel"/>
    <w:lvl w:ilvl="0">
      <w:lvlJc w:val="left"/>
      <w:lvlText w:val="(%1)"/>
      <w:numFmt w:val="decimal"/>
      <w:start w:val="2"/>
    </w:lvl>
  </w:abstractNum>
  <w:abstractNum w:abstractNumId="39">
    <w:nsid w:val="12E685FB"/>
    <w:multiLevelType w:val="hybridMultilevel"/>
    <w:lvl w:ilvl="0">
      <w:lvlJc w:val="left"/>
      <w:lvlText w:val="(%1)"/>
      <w:numFmt w:val="lowerRoman"/>
      <w:start w:val="1"/>
    </w:lvl>
  </w:abstractNum>
  <w:abstractNum w:abstractNumId="40">
    <w:nsid w:val="70C6A529"/>
    <w:multiLevelType w:val="hybridMultilevel"/>
    <w:lvl w:ilvl="0">
      <w:lvlJc w:val="left"/>
      <w:lvlText w:val="(%1)"/>
      <w:numFmt w:val="lowerRoman"/>
      <w:start w:val="1"/>
    </w:lvl>
  </w:abstractNum>
  <w:abstractNum w:abstractNumId="41">
    <w:nsid w:val="520EEDD1"/>
    <w:multiLevelType w:val="hybridMultilevel"/>
    <w:lvl w:ilvl="0">
      <w:lvlJc w:val="left"/>
      <w:lvlText w:val="(%1)"/>
      <w:numFmt w:val="upperLetter"/>
      <w:start w:val="2"/>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lvl w:ilvl="1">
      <w:lvlJc w:val="left"/>
      <w:lvlText w:val="(%2)"/>
      <w:numFmt w:val="lowerRoman"/>
      <w:start w:val="1"/>
    </w:lvl>
  </w:abstractNum>
  <w:abstractNum w:abstractNumId="46">
    <w:nsid w:val="275AC794"/>
    <w:multiLevelType w:val="hybridMultilevel"/>
    <w:lvl w:ilvl="0">
      <w:lvlJc w:val="left"/>
      <w:lvlText w:val="•"/>
      <w:numFmt w:val="bullet"/>
      <w:start w:val="1"/>
    </w:lvl>
    <w:lvl w:ilvl="1">
      <w:lvlJc w:val="left"/>
      <w:lvlText w:val="(%2)"/>
      <w:numFmt w:val="lowerRoman"/>
      <w:start w:val="3"/>
    </w:lvl>
  </w:abstractNum>
  <w:abstractNum w:abstractNumId="47">
    <w:nsid w:val="39386575"/>
    <w:multiLevelType w:val="hybridMultilevel"/>
    <w:lvl w:ilvl="0">
      <w:lvlJc w:val="left"/>
      <w:lvlText w:val="•"/>
      <w:numFmt w:val="bullet"/>
      <w:start w:val="1"/>
    </w:lvl>
    <w:lvl w:ilvl="1">
      <w:lvlJc w:val="left"/>
      <w:lvlText w:val="(%2)"/>
      <w:numFmt w:val="lowerRoman"/>
      <w:start w:val="1"/>
    </w:lvl>
  </w:abstractNum>
  <w:abstractNum w:abstractNumId="48">
    <w:nsid w:val="1CF10FD8"/>
    <w:multiLevelType w:val="hybridMultilevel"/>
    <w:lvl w:ilvl="0">
      <w:lvlJc w:val="left"/>
      <w:lvlText w:val="(%1)"/>
      <w:numFmt w:val="lowerRoman"/>
      <w:start w:val="9"/>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lowerRoman"/>
      <w:start w:val="1"/>
    </w:lvl>
  </w:abstractNum>
  <w:abstractNum w:abstractNumId="51">
    <w:nsid w:val="47398C89"/>
    <w:multiLevelType w:val="hybridMultilevel"/>
    <w:lvl w:ilvl="0">
      <w:lvlJc w:val="left"/>
      <w:lvlText w:val="(%1)"/>
      <w:numFmt w:val="lowerRoman"/>
      <w:start w:val="7"/>
    </w:lvl>
  </w:abstractNum>
  <w:abstractNum w:abstractNumId="52">
    <w:nsid w:val="354FE9F9"/>
    <w:multiLevelType w:val="hybridMultilevel"/>
    <w:lvl w:ilvl="0">
      <w:lvlJc w:val="left"/>
      <w:lvlText w:val="%1."/>
      <w:numFmt w:val="decimal"/>
      <w:start w:val="1"/>
    </w:lvl>
    <w:lvl w:ilvl="1">
      <w:lvlJc w:val="left"/>
      <w:lvlText w:val="(%2)"/>
      <w:numFmt w:val="lowerLetter"/>
      <w:start w:val="1"/>
    </w:lvl>
  </w:abstractNum>
  <w:abstractNum w:abstractNumId="53">
    <w:nsid w:val="15B5AF5C"/>
    <w:multiLevelType w:val="hybridMultilevel"/>
    <w:lvl w:ilvl="0">
      <w:lvlJc w:val="left"/>
      <w:lvlText w:val="%1."/>
      <w:numFmt w:val="decimal"/>
      <w:start w:val="2"/>
    </w:lvl>
    <w:lvl w:ilvl="1">
      <w:lvlJc w:val="left"/>
      <w:lvlText w:val="(%2)"/>
      <w:numFmt w:val="lowerLetter"/>
      <w:start w:val="1"/>
    </w:lvl>
  </w:abstractNum>
  <w:abstractNum w:abstractNumId="54">
    <w:nsid w:val="741226BB"/>
    <w:multiLevelType w:val="hybridMultilevel"/>
    <w:lvl w:ilvl="0">
      <w:lvlJc w:val="left"/>
      <w:lvlText w:val="%1."/>
      <w:numFmt w:val="decimal"/>
      <w:start w:val="3"/>
    </w:lvl>
    <w:lvl w:ilvl="1">
      <w:lvlJc w:val="left"/>
      <w:lvlText w:val="(%2)"/>
      <w:numFmt w:val="lowerLetter"/>
      <w:start w:val="1"/>
    </w:lvl>
  </w:abstractNum>
  <w:abstractNum w:abstractNumId="55">
    <w:nsid w:val="D34B6A8"/>
    <w:multiLevelType w:val="hybridMultilevel"/>
    <w:lvl w:ilvl="0">
      <w:lvlJc w:val="left"/>
      <w:lvlText w:val="(%1)"/>
      <w:numFmt w:val="lowerLetter"/>
      <w:start w:val="4"/>
    </w:lvl>
  </w:abstractNum>
  <w:abstractNum w:abstractNumId="56">
    <w:nsid w:val="10233C99"/>
    <w:multiLevelType w:val="hybridMultilevel"/>
    <w:lvl w:ilvl="0">
      <w:lvlJc w:val="left"/>
      <w:lvlText w:val="%1."/>
      <w:numFmt w:val="decimal"/>
      <w:start w:val="4"/>
    </w:lvl>
    <w:lvl w:ilvl="1">
      <w:lvlJc w:val="left"/>
      <w:lvlText w:val="(%2)"/>
      <w:numFmt w:val="lowerLetter"/>
      <w:start w:val="1"/>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Letter"/>
      <w:start w:val="4"/>
    </w:lvl>
  </w:abstractNum>
  <w:abstractNum w:abstractNumId="59">
    <w:nsid w:val="7E0C57B1"/>
    <w:multiLevelType w:val="hybridMultilevel"/>
    <w:lvl w:ilvl="0">
      <w:lvlJc w:val="left"/>
      <w:lvlText w:val="%1)"/>
      <w:numFmt w:val="lowerLetter"/>
      <w:start w:val="1"/>
    </w:lvl>
    <w:lvl w:ilvl="1">
      <w:lvlJc w:val="left"/>
      <w:lvlText w:val="%2)"/>
      <w:numFmt w:val="lowerLetter"/>
      <w:start w:val="2"/>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
      <w:numFmt w:val="bullet"/>
      <w:start w:val="1"/>
    </w:lvl>
  </w:abstractNum>
  <w:abstractNum w:abstractNumId="62">
    <w:nsid w:val="310C50B3"/>
    <w:multiLevelType w:val="hybridMultilevel"/>
    <w:lvl w:ilvl="0">
      <w:lvlJc w:val="left"/>
      <w:lvlText w:val="(%1)"/>
      <w:numFmt w:val="decimal"/>
      <w:start w:val="8"/>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jpe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jpeg"/><Relationship Id="rId134" Type="http://schemas.openxmlformats.org/officeDocument/2006/relationships/image" Target="media/image123.png"/><Relationship Id="rId135" Type="http://schemas.openxmlformats.org/officeDocument/2006/relationships/image" Target="media/image124.jpe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jpeg"/><Relationship Id="rId139" Type="http://schemas.openxmlformats.org/officeDocument/2006/relationships/image" Target="media/image128.jpe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51" Type="http://schemas.openxmlformats.org/officeDocument/2006/relationships/hyperlink" Target="https://www.sec.gov/Archives/edgar/data/79282/000095017023000930/bro-ex3_1.htm" TargetMode="External"/><Relationship Id="rId52" Type="http://schemas.openxmlformats.org/officeDocument/2006/relationships/hyperlink" Target="https://www.sec.gov/Archives/edgar/data/79282/000095017023000930/bro-ex3_2.htm" TargetMode="External"/><Relationship Id="rId53" Type="http://schemas.openxmlformats.org/officeDocument/2006/relationships/hyperlink" Target="https://www.sec.gov/Archives/edgar/data/79282/000118811209000485/ex4-3.htm" TargetMode="External"/><Relationship Id="rId54" Type="http://schemas.openxmlformats.org/officeDocument/2006/relationships/hyperlink" Target="https://www.sec.gov/Archives/edgar/data/79282/000119312514345625/d79151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2026-05-08T05:13:13Z</dcterms:created>
  <dcterms:modified xsi:type="dcterms:W3CDTF">2026-05-08T05:13:13Z</dcterms:modified>
</cp:coreProperties>
</file>