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ro-20240930.htm"/>
      <w:bookmarkStart w:id="1" w:name="ksbro20240930"/>
      <w:bookmarkEnd w:id="0"/>
      <w:bookmarkEnd w:id="1"/>
      <w:r>
        <w:rPr/>
        <w:t> </w:t>
      </w:r>
    </w:p>
    <w:p>
      <w:pPr>
        <w:pStyle w:val="TextBody"/>
        <w:pBdr>
          <w:bottom w:val="double" w:sz="4" w:space="1" w:color="000000"/>
        </w:pBdr>
        <w:bidi w:val="0"/>
        <w:jc w:val="left"/>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8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w:t>
      </w:r>
      <w:r>
        <w:rPr>
          <w:rFonts w:ascii="Times New Roman" w:hAnsi="Times New Roman"/>
          <w:color w:val="000000"/>
          <w:sz w:val="20"/>
        </w:rPr>
        <w:t xml:space="preserve"> </w:t>
      </w:r>
      <w:r>
        <w:rPr>
          <w:rFonts w:ascii="Times New Roman" w:hAnsi="Times New Roman"/>
          <w:b/>
          <w:color w:val="000000"/>
          <w:sz w:val="36"/>
        </w:rPr>
        <w:t>10-Q</w:t>
      </w:r>
    </w:p>
    <w:p>
      <w:pPr>
        <w:pStyle w:val="TextBody"/>
        <w:pBdr>
          <w:bottom w:val="single" w:sz="4" w:space="1" w:color="000000"/>
        </w:pBdr>
        <w:bidi w:val="0"/>
        <w:spacing w:before="0" w:after="80"/>
        <w:jc w:val="center"/>
        <w:rPr/>
      </w:pPr>
      <w:r>
        <w:rPr/>
        <w:t> </w:t>
      </w:r>
    </w:p>
    <w:tbl>
      <w:tblPr>
        <w:tblW w:w="10205" w:type="dxa"/>
        <w:jc w:val="left"/>
        <w:tblInd w:w="0" w:type="dxa"/>
        <w:tblLayout w:type="fixed"/>
        <w:tblCellMar>
          <w:top w:w="28" w:type="dxa"/>
          <w:left w:w="28" w:type="dxa"/>
          <w:bottom w:w="28" w:type="dxa"/>
          <w:right w:w="28" w:type="dxa"/>
        </w:tblCellMar>
      </w:tblPr>
      <w:tblGrid>
        <w:gridCol w:w="821"/>
        <w:gridCol w:w="9384"/>
      </w:tblGrid>
      <w:tr>
        <w:trPr/>
        <w:tc>
          <w:tcPr>
            <w:tcW w:w="821" w:type="dxa"/>
            <w:tcBorders/>
            <w:vAlign w:val="center"/>
          </w:tcPr>
          <w:p>
            <w:pPr>
              <w:pStyle w:val="TableContents"/>
              <w:bidi w:val="0"/>
              <w:spacing w:before="0" w:after="283"/>
              <w:jc w:val="left"/>
              <w:rPr>
                <w:sz w:val="4"/>
                <w:szCs w:val="4"/>
              </w:rPr>
            </w:pPr>
            <w:r>
              <w:rPr>
                <w:sz w:val="4"/>
                <w:szCs w:val="4"/>
              </w:rPr>
            </w:r>
          </w:p>
        </w:tc>
        <w:tc>
          <w:tcPr>
            <w:tcW w:w="9384" w:type="dxa"/>
            <w:tcBorders/>
            <w:vAlign w:val="center"/>
          </w:tcPr>
          <w:p>
            <w:pPr>
              <w:pStyle w:val="TableContents"/>
              <w:bidi w:val="0"/>
              <w:spacing w:before="0" w:after="283"/>
              <w:jc w:val="left"/>
              <w:rPr>
                <w:sz w:val="4"/>
                <w:szCs w:val="4"/>
              </w:rPr>
            </w:pPr>
            <w:r>
              <w:rPr>
                <w:sz w:val="4"/>
                <w:szCs w:val="4"/>
              </w:rPr>
            </w:r>
          </w:p>
        </w:tc>
      </w:tr>
      <w:tr>
        <w:trPr/>
        <w:tc>
          <w:tcPr>
            <w:tcW w:w="821" w:type="dxa"/>
            <w:tcBorders/>
            <w:vAlign w:val="center"/>
          </w:tcPr>
          <w:p>
            <w:pPr>
              <w:pStyle w:val="TableContents"/>
              <w:bidi w:val="0"/>
              <w:spacing w:before="0" w:after="283"/>
              <w:ind w:left="0" w:right="0" w:firstLine="490"/>
              <w:jc w:val="left"/>
              <w:rPr>
                <w:color w:val="000000"/>
              </w:rPr>
            </w:pPr>
            <w:r>
              <w:rPr>
                <w:color w:val="000000"/>
              </w:rPr>
              <w:t>☒</w:t>
            </w:r>
          </w:p>
        </w:tc>
        <w:tc>
          <w:tcPr>
            <w:tcW w:w="9384" w:type="dxa"/>
            <w:tcBorders/>
            <w:vAlign w:val="center"/>
          </w:tcPr>
          <w:p>
            <w:pPr>
              <w:pStyle w:val="TableContents"/>
              <w:pBdr/>
              <w:bidi w:val="0"/>
              <w:spacing w:before="0" w:after="283"/>
              <w:ind w:left="0" w:right="0" w:hanging="490"/>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spacing w:before="80" w:after="8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80" w:after="283"/>
              <w:jc w:val="left"/>
              <w:rPr>
                <w:color w:val="000000"/>
              </w:rPr>
            </w:pPr>
            <w:r>
              <w:rPr>
                <w:color w:val="000000"/>
              </w:rPr>
              <w:t>☐</w:t>
            </w:r>
          </w:p>
        </w:tc>
        <w:tc>
          <w:tcPr>
            <w:tcW w:w="9874" w:type="dxa"/>
            <w:tcBorders/>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001-13619</w:t>
      </w:r>
    </w:p>
    <w:p>
      <w:pPr>
        <w:pStyle w:val="TextBody"/>
        <w:pBdr>
          <w:bottom w:val="single" w:sz="4" w:space="1" w:color="000000"/>
        </w:pBdr>
        <w:bidi w:val="0"/>
        <w:spacing w:before="0" w:after="8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BROWN &amp; BROWN,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0" w:after="80"/>
        <w:jc w:val="center"/>
        <w:rPr/>
      </w:pPr>
      <w:r>
        <w:rPr/>
        <w:t> </w:t>
      </w:r>
    </w:p>
    <w:p>
      <w:pPr>
        <w:pStyle w:val="TextBody"/>
        <w:bidi w:val="0"/>
        <w:jc w:val="left"/>
        <w:rPr/>
      </w:pPr>
      <w:r>
        <w:rPr/>
        <w:t> </w:t>
      </w:r>
    </w:p>
    <w:tbl>
      <w:tblPr>
        <w:tblW w:w="8180" w:type="dxa"/>
        <w:jc w:val="left"/>
        <w:tblInd w:w="0" w:type="dxa"/>
        <w:tblLayout w:type="fixed"/>
        <w:tblCellMar>
          <w:top w:w="28" w:type="dxa"/>
          <w:left w:w="28" w:type="dxa"/>
          <w:bottom w:w="28" w:type="dxa"/>
          <w:right w:w="28" w:type="dxa"/>
        </w:tblCellMar>
      </w:tblPr>
      <w:tblGrid>
        <w:gridCol w:w="2926"/>
        <w:gridCol w:w="146"/>
        <w:gridCol w:w="3146"/>
        <w:gridCol w:w="146"/>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46" w:type="dxa"/>
            <w:tcBorders/>
            <w:vAlign w:val="center"/>
          </w:tcPr>
          <w:p>
            <w:pPr>
              <w:pStyle w:val="TableContents"/>
              <w:bidi w:val="0"/>
              <w:spacing w:before="0" w:after="283"/>
              <w:jc w:val="left"/>
              <w:rPr>
                <w:sz w:val="4"/>
                <w:szCs w:val="4"/>
              </w:rPr>
            </w:pPr>
            <w:r>
              <w:rPr>
                <w:sz w:val="4"/>
                <w:szCs w:val="4"/>
              </w:rPr>
            </w:r>
          </w:p>
        </w:tc>
        <w:tc>
          <w:tcPr>
            <w:tcW w:w="3146" w:type="dxa"/>
            <w:vMerge w:val="restart"/>
            <w:tcBorders/>
            <w:vAlign w:val="center"/>
          </w:tcPr>
          <w:p>
            <w:pPr>
              <w:pStyle w:val="TableContents"/>
              <w:bidi w:val="0"/>
              <w:spacing w:before="0" w:after="283"/>
              <w:jc w:val="center"/>
              <w:rPr/>
            </w:pPr>
            <w:r>
              <w:rPr/>
              <w:drawing>
                <wp:inline distT="0" distB="0" distL="0" distR="0">
                  <wp:extent cx="19431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43100" cy="342900"/>
                          </a:xfrm>
                          <a:prstGeom prst="rect">
                            <a:avLst/>
                          </a:prstGeom>
                        </pic:spPr>
                      </pic:pic>
                    </a:graphicData>
                  </a:graphic>
                </wp:inline>
              </w:drawing>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59-0864469</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center"/>
              <w:rPr/>
            </w:pPr>
            <w:r>
              <w:rPr/>
              <w:t> </w:t>
            </w:r>
          </w:p>
        </w:tc>
        <w:tc>
          <w:tcPr>
            <w:tcW w:w="3146"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81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r>
        <w:trPr/>
        <w:tc>
          <w:tcPr>
            <w:tcW w:w="292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300 North Beach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Daytona Beach, FL</w:t>
            </w:r>
          </w:p>
        </w:tc>
        <w:tc>
          <w:tcPr>
            <w:tcW w:w="146" w:type="dxa"/>
            <w:tcBorders/>
            <w:vAlign w:val="center"/>
          </w:tcPr>
          <w:p>
            <w:pPr>
              <w:pStyle w:val="TableContents"/>
              <w:bidi w:val="0"/>
              <w:spacing w:before="0" w:after="283"/>
              <w:jc w:val="center"/>
              <w:rPr/>
            </w:pPr>
            <w:r>
              <w:rPr/>
              <w:t> </w:t>
            </w:r>
          </w:p>
        </w:tc>
        <w:tc>
          <w:tcPr>
            <w:tcW w:w="3146"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8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32114</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center"/>
              <w:rPr/>
            </w:pPr>
            <w:r>
              <w:rPr/>
              <w:t> </w:t>
            </w:r>
          </w:p>
        </w:tc>
        <w:tc>
          <w:tcPr>
            <w:tcW w:w="3146"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8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(386) 252-9601</w:t>
      </w:r>
    </w:p>
    <w:p>
      <w:pPr>
        <w:pStyle w:val="TextBody"/>
        <w:pBdr>
          <w:bottom w:val="single" w:sz="4" w:space="1" w:color="000000"/>
        </w:pBdr>
        <w:bidi w:val="0"/>
        <w:spacing w:before="0" w:after="80"/>
        <w:jc w:val="center"/>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413" w:type="dxa"/>
        <w:jc w:val="left"/>
        <w:tblInd w:w="0" w:type="dxa"/>
        <w:tblLayout w:type="fixed"/>
        <w:tblCellMar>
          <w:top w:w="28" w:type="dxa"/>
          <w:left w:w="28" w:type="dxa"/>
          <w:bottom w:w="28" w:type="dxa"/>
          <w:right w:w="28" w:type="dxa"/>
        </w:tblCellMar>
      </w:tblPr>
      <w:tblGrid>
        <w:gridCol w:w="2761"/>
        <w:gridCol w:w="1426"/>
        <w:gridCol w:w="3226"/>
      </w:tblGrid>
      <w:tr>
        <w:trPr/>
        <w:tc>
          <w:tcPr>
            <w:tcW w:w="276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76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276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$0.10 Par Value</w:t>
            </w:r>
          </w:p>
        </w:tc>
        <w:tc>
          <w:tcPr>
            <w:tcW w:w="142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w:t>
            </w:r>
          </w:p>
        </w:tc>
        <w:tc>
          <w:tcPr>
            <w:tcW w:w="322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twelve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number of shares of the Registrant’s common stock, $0.10 par value, outstanding as of October 25, 2024 was 285,958,390.</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2" w:name="index"/>
      <w:bookmarkEnd w:id="2"/>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751"/>
        <w:gridCol w:w="176"/>
        <w:gridCol w:w="8203"/>
        <w:gridCol w:w="176"/>
        <w:gridCol w:w="899"/>
      </w:tblGrid>
      <w:tr>
        <w:trPr/>
        <w:tc>
          <w:tcPr>
            <w:tcW w:w="7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927" w:type="dxa"/>
            <w:gridSpan w:val="2"/>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ind w:left="0" w:right="0" w:firstLine="30"/>
              <w:jc w:val="left"/>
              <w:rPr/>
            </w:pPr>
            <w:r>
              <w:rPr/>
              <w:t> </w:t>
            </w:r>
          </w:p>
        </w:tc>
      </w:tr>
      <w:tr>
        <w:trPr/>
        <w:tc>
          <w:tcPr>
            <w:tcW w:w="751"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99" w:type="dxa"/>
            <w:tcBorders/>
            <w:vAlign w:val="center"/>
          </w:tcPr>
          <w:p>
            <w:pPr>
              <w:pStyle w:val="TableContents"/>
              <w:bidi w:val="0"/>
              <w:spacing w:before="0" w:after="283"/>
              <w:ind w:left="0" w:right="0" w:firstLine="30"/>
              <w:jc w:val="left"/>
              <w:rPr>
                <w:sz w:val="4"/>
                <w:szCs w:val="4"/>
              </w:rPr>
            </w:pPr>
            <w:r>
              <w:rPr>
                <w:sz w:val="4"/>
                <w:szCs w:val="4"/>
              </w:rPr>
            </w:r>
          </w:p>
        </w:tc>
      </w:tr>
      <w:tr>
        <w:trPr/>
        <w:tc>
          <w:tcPr>
            <w:tcW w:w="751"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30" w:right="0" w:firstLine="30"/>
              <w:jc w:val="center"/>
              <w:rPr/>
            </w:pPr>
            <w:r>
              <w:rPr/>
              <w:t> </w:t>
            </w:r>
          </w:p>
        </w:tc>
        <w:tc>
          <w:tcPr>
            <w:tcW w:w="89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PAGE NO.</w:t>
            </w:r>
          </w:p>
        </w:tc>
      </w:tr>
      <w:tr>
        <w:trPr/>
        <w:tc>
          <w:tcPr>
            <w:tcW w:w="9130" w:type="dxa"/>
            <w:gridSpan w:val="3"/>
            <w:tcBorders/>
            <w:vAlign w:val="center"/>
          </w:tcPr>
          <w:p>
            <w:pPr>
              <w:pStyle w:val="TableContents"/>
              <w:bidi w:val="0"/>
              <w:spacing w:before="0" w:after="283"/>
              <w:ind w:left="0" w:right="0" w:firstLine="30"/>
              <w:jc w:val="left"/>
              <w:rPr/>
            </w:pPr>
            <w:hyperlink w:anchor="part_i_financial_information">
              <w:r>
                <w:rPr>
                  <w:rStyle w:val="InternetLink"/>
                  <w:rFonts w:ascii="Times New Roman" w:hAnsi="Times New Roman"/>
                  <w:b/>
                  <w:color w:val="0563C1"/>
                  <w:sz w:val="20"/>
                  <w:u w:val="single"/>
                </w:rPr>
                <w:t>PART I. FINANCIAL INFORMATION</w:t>
              </w:r>
            </w:hyperlink>
          </w:p>
        </w:tc>
        <w:tc>
          <w:tcPr>
            <w:tcW w:w="176" w:type="dxa"/>
            <w:tcBorders/>
            <w:vAlign w:val="center"/>
          </w:tcPr>
          <w:p>
            <w:pPr>
              <w:pStyle w:val="TableContents"/>
              <w:bidi w:val="0"/>
              <w:spacing w:before="0" w:after="283"/>
              <w:ind w:left="0" w:right="0" w:firstLine="30"/>
              <w:jc w:val="left"/>
              <w:rPr/>
            </w:pPr>
            <w:r>
              <w:rPr/>
              <w:t> </w:t>
            </w:r>
          </w:p>
        </w:tc>
        <w:tc>
          <w:tcPr>
            <w:tcW w:w="899" w:type="dxa"/>
            <w:tcBorders/>
            <w:vAlign w:val="center"/>
          </w:tcPr>
          <w:p>
            <w:pPr>
              <w:pStyle w:val="TableContents"/>
              <w:bidi w:val="0"/>
              <w:spacing w:before="0" w:after="283"/>
              <w:ind w:left="0" w:right="0" w:firstLine="30"/>
              <w:jc w:val="right"/>
              <w:rPr/>
            </w:pPr>
            <w:r>
              <w:rPr/>
              <w:t> </w:t>
            </w:r>
          </w:p>
        </w:tc>
      </w:tr>
      <w:tr>
        <w:trPr/>
        <w:tc>
          <w:tcPr>
            <w:tcW w:w="751"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899" w:type="dxa"/>
            <w:tcBorders/>
            <w:vAlign w:val="center"/>
          </w:tcPr>
          <w:p>
            <w:pPr>
              <w:pStyle w:val="TableContents"/>
              <w:bidi w:val="0"/>
              <w:spacing w:before="0" w:after="283"/>
              <w:ind w:left="0" w:right="0" w:firstLine="250"/>
              <w:jc w:val="right"/>
              <w:rPr/>
            </w:pPr>
            <w:r>
              <w:rPr/>
              <w:t> </w:t>
            </w:r>
          </w:p>
        </w:tc>
      </w:tr>
      <w:tr>
        <w:trPr/>
        <w:tc>
          <w:tcPr>
            <w:tcW w:w="75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w:t>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hyperlink w:anchor="item_1_financial_statements_unaudited">
              <w:r>
                <w:rPr>
                  <w:rStyle w:val="InternetLink"/>
                  <w:rFonts w:ascii="Times New Roman" w:hAnsi="Times New Roman"/>
                  <w:color w:val="0563C1"/>
                  <w:sz w:val="20"/>
                  <w:u w:val="single"/>
                </w:rPr>
                <w:t>Financial Statements (Unaudited):</w:t>
              </w:r>
            </w:hyperlink>
          </w:p>
        </w:tc>
        <w:tc>
          <w:tcPr>
            <w:tcW w:w="176" w:type="dxa"/>
            <w:tcBorders/>
            <w:vAlign w:val="center"/>
          </w:tcPr>
          <w:p>
            <w:pPr>
              <w:pStyle w:val="TableContents"/>
              <w:bidi w:val="0"/>
              <w:spacing w:before="0" w:after="283"/>
              <w:ind w:left="0" w:right="0" w:firstLine="30"/>
              <w:jc w:val="left"/>
              <w:rPr/>
            </w:pPr>
            <w:r>
              <w:rPr/>
              <w:t> </w:t>
            </w:r>
          </w:p>
        </w:tc>
        <w:tc>
          <w:tcPr>
            <w:tcW w:w="899" w:type="dxa"/>
            <w:tcBorders/>
            <w:vAlign w:val="center"/>
          </w:tcPr>
          <w:p>
            <w:pPr>
              <w:pStyle w:val="TableContents"/>
              <w:bidi w:val="0"/>
              <w:spacing w:before="0" w:after="283"/>
              <w:ind w:left="0" w:right="0" w:firstLine="250"/>
              <w:jc w:val="right"/>
              <w:rPr/>
            </w:pPr>
            <w:r>
              <w:rPr/>
              <w:t> </w:t>
            </w:r>
          </w:p>
        </w:tc>
      </w:tr>
      <w:tr>
        <w:trPr/>
        <w:tc>
          <w:tcPr>
            <w:tcW w:w="751"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hyperlink w:anchor="condensed_consolidated_statements_inc">
              <w:r>
                <w:rPr>
                  <w:rStyle w:val="InternetLink"/>
                  <w:rFonts w:ascii="Times New Roman" w:hAnsi="Times New Roman"/>
                  <w:color w:val="0563C1"/>
                  <w:sz w:val="20"/>
                  <w:u w:val="single"/>
                </w:rPr>
                <w:t>Condensed Consolidated Statements of Income for the three and nine months ended September 30, 2024 and 2023</w:t>
              </w:r>
            </w:hyperlink>
          </w:p>
        </w:tc>
        <w:tc>
          <w:tcPr>
            <w:tcW w:w="176" w:type="dxa"/>
            <w:tcBorders/>
            <w:vAlign w:val="center"/>
          </w:tcPr>
          <w:p>
            <w:pPr>
              <w:pStyle w:val="TableContents"/>
              <w:bidi w:val="0"/>
              <w:spacing w:before="0" w:after="283"/>
              <w:ind w:left="30" w:right="0" w:firstLine="30"/>
              <w:jc w:val="right"/>
              <w:rPr/>
            </w:pPr>
            <w:r>
              <w:rPr/>
              <w:t> </w:t>
            </w:r>
          </w:p>
        </w:tc>
        <w:tc>
          <w:tcPr>
            <w:tcW w:w="89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5</w:t>
            </w:r>
          </w:p>
        </w:tc>
      </w:tr>
      <w:tr>
        <w:trPr/>
        <w:tc>
          <w:tcPr>
            <w:tcW w:w="751"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hyperlink w:anchor="condensed_consolidated_stmt_comp_income">
              <w:r>
                <w:rPr>
                  <w:rStyle w:val="InternetLink"/>
                  <w:rFonts w:ascii="Times New Roman" w:hAnsi="Times New Roman"/>
                  <w:color w:val="0563C1"/>
                  <w:sz w:val="20"/>
                  <w:u w:val="single"/>
                </w:rPr>
                <w:t>Condensed Consolidated Statements of Comprehensive Income for the three and nine months ended September 30, 2024 and 2023</w:t>
              </w:r>
            </w:hyperlink>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6</w:t>
            </w:r>
          </w:p>
        </w:tc>
      </w:tr>
      <w:tr>
        <w:trPr/>
        <w:tc>
          <w:tcPr>
            <w:tcW w:w="751"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hyperlink w:anchor="condensed_consolidated_balance_sheets">
              <w:r>
                <w:rPr>
                  <w:rStyle w:val="InternetLink"/>
                  <w:rFonts w:ascii="Times New Roman" w:hAnsi="Times New Roman"/>
                  <w:color w:val="0563C1"/>
                  <w:sz w:val="20"/>
                  <w:u w:val="single"/>
                </w:rPr>
                <w:t>Condensed Consolidated Balance Sheets as of September 30, 2024 and December 31, 2023</w:t>
              </w:r>
            </w:hyperlink>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7</w:t>
            </w:r>
          </w:p>
        </w:tc>
      </w:tr>
      <w:tr>
        <w:trPr/>
        <w:tc>
          <w:tcPr>
            <w:tcW w:w="751"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hyperlink w:anchor="condensed_consolidated_statements_equity">
              <w:r>
                <w:rPr>
                  <w:rStyle w:val="InternetLink"/>
                  <w:rFonts w:ascii="Times New Roman" w:hAnsi="Times New Roman"/>
                  <w:color w:val="0563C1"/>
                  <w:sz w:val="20"/>
                  <w:u w:val="single"/>
                </w:rPr>
                <w:t>Condensed Consolidated Statements of Equity for the three and nine months ended September 30, 2024 and 2023</w:t>
              </w:r>
            </w:hyperlink>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8</w:t>
            </w:r>
          </w:p>
        </w:tc>
      </w:tr>
      <w:tr>
        <w:trPr/>
        <w:tc>
          <w:tcPr>
            <w:tcW w:w="751"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hyperlink w:anchor="condensed_consolidated_statements_cash">
              <w:r>
                <w:rPr>
                  <w:rStyle w:val="InternetLink"/>
                  <w:rFonts w:ascii="Times New Roman" w:hAnsi="Times New Roman"/>
                  <w:color w:val="0563C1"/>
                  <w:sz w:val="20"/>
                  <w:u w:val="single"/>
                </w:rPr>
                <w:t>Condensed Consolidated Statements of Cash Flows for the nine months ended September 30, 2024 and 2023</w:t>
              </w:r>
            </w:hyperlink>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9</w:t>
            </w:r>
          </w:p>
        </w:tc>
      </w:tr>
      <w:tr>
        <w:trPr/>
        <w:tc>
          <w:tcPr>
            <w:tcW w:w="751"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hyperlink w:anchor="notes_to_condensed_consolidated_financia">
              <w:r>
                <w:rPr>
                  <w:rStyle w:val="InternetLink"/>
                  <w:rFonts w:ascii="Times New Roman" w:hAnsi="Times New Roman"/>
                  <w:color w:val="0563C1"/>
                  <w:sz w:val="20"/>
                  <w:u w:val="single"/>
                </w:rPr>
                <w:t>Notes to Condensed Consolidated Financial Statements</w:t>
              </w:r>
            </w:hyperlink>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10</w:t>
            </w:r>
          </w:p>
        </w:tc>
      </w:tr>
      <w:tr>
        <w:trPr/>
        <w:tc>
          <w:tcPr>
            <w:tcW w:w="751"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99" w:type="dxa"/>
            <w:tcBorders/>
            <w:vAlign w:val="center"/>
          </w:tcPr>
          <w:p>
            <w:pPr>
              <w:pStyle w:val="TableContents"/>
              <w:bidi w:val="0"/>
              <w:spacing w:before="0" w:after="283"/>
              <w:ind w:left="0" w:right="0" w:firstLine="250"/>
              <w:jc w:val="right"/>
              <w:rPr/>
            </w:pPr>
            <w:r>
              <w:rPr/>
              <w:t> </w:t>
            </w:r>
          </w:p>
        </w:tc>
      </w:tr>
      <w:tr>
        <w:trPr/>
        <w:tc>
          <w:tcPr>
            <w:tcW w:w="75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2.</w:t>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hyperlink w:anchor="item_2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24</w:t>
            </w:r>
          </w:p>
        </w:tc>
      </w:tr>
      <w:tr>
        <w:trPr/>
        <w:tc>
          <w:tcPr>
            <w:tcW w:w="75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3.</w:t>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hyperlink w:anchor="item_3_quantitative_qualitative_disclosu">
              <w:r>
                <w:rPr>
                  <w:rStyle w:val="InternetLink"/>
                  <w:rFonts w:ascii="Times New Roman" w:hAnsi="Times New Roman"/>
                  <w:color w:val="0563C1"/>
                  <w:sz w:val="20"/>
                  <w:u w:val="single"/>
                </w:rPr>
                <w:t>Quantitative and Qualitative Disclosures About Market Risk</w:t>
              </w:r>
            </w:hyperlink>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42</w:t>
            </w:r>
          </w:p>
        </w:tc>
      </w:tr>
      <w:tr>
        <w:trPr/>
        <w:tc>
          <w:tcPr>
            <w:tcW w:w="75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4.</w:t>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hyperlink w:anchor="item_4_controls_procedures">
              <w:r>
                <w:rPr>
                  <w:rStyle w:val="InternetLink"/>
                  <w:rFonts w:ascii="Times New Roman" w:hAnsi="Times New Roman"/>
                  <w:color w:val="0563C1"/>
                  <w:sz w:val="20"/>
                  <w:u w:val="single"/>
                </w:rPr>
                <w:t>Controls and Procedures</w:t>
              </w:r>
            </w:hyperlink>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42</w:t>
            </w:r>
          </w:p>
        </w:tc>
      </w:tr>
      <w:tr>
        <w:trPr/>
        <w:tc>
          <w:tcPr>
            <w:tcW w:w="751"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0" w:right="0" w:firstLine="30"/>
              <w:jc w:val="right"/>
              <w:rPr/>
            </w:pPr>
            <w:r>
              <w:rPr/>
              <w:t> </w:t>
            </w:r>
          </w:p>
        </w:tc>
      </w:tr>
      <w:tr>
        <w:trPr/>
        <w:tc>
          <w:tcPr>
            <w:tcW w:w="9130" w:type="dxa"/>
            <w:gridSpan w:val="3"/>
            <w:tcBorders/>
            <w:vAlign w:val="center"/>
          </w:tcPr>
          <w:p>
            <w:pPr>
              <w:pStyle w:val="TableContents"/>
              <w:bidi w:val="0"/>
              <w:spacing w:before="0" w:after="283"/>
              <w:ind w:left="0" w:right="0" w:firstLine="30"/>
              <w:jc w:val="left"/>
              <w:rPr/>
            </w:pPr>
            <w:hyperlink w:anchor="part_ii">
              <w:r>
                <w:rPr>
                  <w:rStyle w:val="InternetLink"/>
                  <w:rFonts w:ascii="Times New Roman" w:hAnsi="Times New Roman"/>
                  <w:b/>
                  <w:color w:val="0563C1"/>
                  <w:sz w:val="20"/>
                  <w:u w:val="single"/>
                </w:rPr>
                <w:t>PART II. OTHER INFORMATION</w:t>
              </w:r>
            </w:hyperlink>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0" w:right="0" w:firstLine="250"/>
              <w:jc w:val="right"/>
              <w:rPr/>
            </w:pPr>
            <w:r>
              <w:rPr/>
              <w:t> </w:t>
            </w:r>
          </w:p>
        </w:tc>
      </w:tr>
      <w:tr>
        <w:trPr/>
        <w:tc>
          <w:tcPr>
            <w:tcW w:w="751"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0" w:right="0" w:firstLine="250"/>
              <w:jc w:val="right"/>
              <w:rPr/>
            </w:pPr>
            <w:r>
              <w:rPr/>
              <w:t> </w:t>
            </w:r>
          </w:p>
        </w:tc>
      </w:tr>
      <w:tr>
        <w:trPr/>
        <w:tc>
          <w:tcPr>
            <w:tcW w:w="75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w:t>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hyperlink w:anchor="item_1_legal_proceedings">
              <w:r>
                <w:rPr>
                  <w:rStyle w:val="InternetLink"/>
                  <w:rFonts w:ascii="Times New Roman" w:hAnsi="Times New Roman"/>
                  <w:color w:val="0563C1"/>
                  <w:sz w:val="20"/>
                  <w:u w:val="single"/>
                </w:rPr>
                <w:t>Legal Proceedings</w:t>
              </w:r>
            </w:hyperlink>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43</w:t>
            </w:r>
          </w:p>
        </w:tc>
      </w:tr>
      <w:tr>
        <w:trPr/>
        <w:tc>
          <w:tcPr>
            <w:tcW w:w="75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1A.</w:t>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hyperlink w:anchor="item_1a_risk_factors">
              <w:r>
                <w:rPr>
                  <w:rStyle w:val="InternetLink"/>
                  <w:rFonts w:ascii="Times New Roman" w:hAnsi="Times New Roman"/>
                  <w:color w:val="0563C1"/>
                  <w:sz w:val="20"/>
                  <w:u w:val="single"/>
                </w:rPr>
                <w:t>Risk Factors</w:t>
              </w:r>
            </w:hyperlink>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43</w:t>
            </w:r>
          </w:p>
        </w:tc>
      </w:tr>
      <w:tr>
        <w:trPr/>
        <w:tc>
          <w:tcPr>
            <w:tcW w:w="75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2.</w:t>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hyperlink w:anchor="item_2_unregistered_sales_equity_securit">
              <w:r>
                <w:rPr>
                  <w:rStyle w:val="InternetLink"/>
                  <w:rFonts w:ascii="Times New Roman" w:hAnsi="Times New Roman"/>
                  <w:color w:val="0563C1"/>
                  <w:sz w:val="20"/>
                  <w:u w:val="single"/>
                </w:rPr>
                <w:t>Unregistered Sales of Equity Securities and Use of Proceeds</w:t>
              </w:r>
            </w:hyperlink>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43</w:t>
            </w:r>
          </w:p>
        </w:tc>
      </w:tr>
      <w:tr>
        <w:trPr/>
        <w:tc>
          <w:tcPr>
            <w:tcW w:w="75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5.</w:t>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hyperlink w:anchor="itme_5_other_information">
              <w:r>
                <w:rPr>
                  <w:rStyle w:val="InternetLink"/>
                  <w:rFonts w:ascii="Times New Roman" w:hAnsi="Times New Roman"/>
                  <w:color w:val="0563C1"/>
                  <w:sz w:val="20"/>
                  <w:u w:val="single"/>
                </w:rPr>
                <w:t>Other Information</w:t>
              </w:r>
            </w:hyperlink>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43</w:t>
            </w:r>
          </w:p>
        </w:tc>
      </w:tr>
      <w:tr>
        <w:trPr/>
        <w:tc>
          <w:tcPr>
            <w:tcW w:w="75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6.</w:t>
            </w:r>
          </w:p>
        </w:tc>
        <w:tc>
          <w:tcPr>
            <w:tcW w:w="176" w:type="dxa"/>
            <w:tcBorders/>
            <w:vAlign w:val="center"/>
          </w:tcPr>
          <w:p>
            <w:pPr>
              <w:pStyle w:val="TableContents"/>
              <w:bidi w:val="0"/>
              <w:spacing w:before="0" w:after="283"/>
              <w:ind w:left="0" w:right="0" w:firstLine="30"/>
              <w:jc w:val="left"/>
              <w:rPr/>
            </w:pPr>
            <w:r>
              <w:rPr/>
              <w:t> </w:t>
            </w:r>
          </w:p>
        </w:tc>
        <w:tc>
          <w:tcPr>
            <w:tcW w:w="8203" w:type="dxa"/>
            <w:tcBorders/>
            <w:vAlign w:val="center"/>
          </w:tcPr>
          <w:p>
            <w:pPr>
              <w:pStyle w:val="TableContents"/>
              <w:bidi w:val="0"/>
              <w:spacing w:before="0" w:after="283"/>
              <w:ind w:left="0" w:right="0" w:firstLine="30"/>
              <w:jc w:val="left"/>
              <w:rPr/>
            </w:pPr>
            <w:hyperlink w:anchor="item_6_exhibits">
              <w:r>
                <w:rPr>
                  <w:rStyle w:val="InternetLink"/>
                  <w:rFonts w:ascii="Times New Roman" w:hAnsi="Times New Roman"/>
                  <w:color w:val="0563C1"/>
                  <w:sz w:val="20"/>
                  <w:u w:val="single"/>
                </w:rPr>
                <w:t>Exhibits</w:t>
              </w:r>
            </w:hyperlink>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44</w:t>
            </w:r>
          </w:p>
        </w:tc>
      </w:tr>
      <w:tr>
        <w:trPr/>
        <w:tc>
          <w:tcPr>
            <w:tcW w:w="9130" w:type="dxa"/>
            <w:gridSpan w:val="3"/>
            <w:tcBorders/>
            <w:vAlign w:val="center"/>
          </w:tcPr>
          <w:p>
            <w:pPr>
              <w:pStyle w:val="TableContents"/>
              <w:bidi w:val="0"/>
              <w:spacing w:before="0" w:after="283"/>
              <w:ind w:left="0" w:right="0" w:firstLine="30"/>
              <w:jc w:val="left"/>
              <w:rPr/>
            </w:pPr>
            <w:hyperlink w:anchor="signature">
              <w:r>
                <w:rPr>
                  <w:rStyle w:val="InternetLink"/>
                  <w:rFonts w:ascii="Times New Roman" w:hAnsi="Times New Roman"/>
                  <w:b/>
                  <w:color w:val="0563C1"/>
                  <w:sz w:val="20"/>
                  <w:u w:val="single"/>
                </w:rPr>
                <w:t>SIGNATURES</w:t>
              </w:r>
            </w:hyperlink>
          </w:p>
        </w:tc>
        <w:tc>
          <w:tcPr>
            <w:tcW w:w="176" w:type="dxa"/>
            <w:tcBorders/>
            <w:vAlign w:val="center"/>
          </w:tcPr>
          <w:p>
            <w:pPr>
              <w:pStyle w:val="TableContents"/>
              <w:bidi w:val="0"/>
              <w:spacing w:before="0" w:after="283"/>
              <w:ind w:left="0" w:right="0" w:firstLine="30"/>
              <w:jc w:val="right"/>
              <w:rPr/>
            </w:pPr>
            <w:r>
              <w:rPr/>
              <w:t> </w:t>
            </w:r>
          </w:p>
        </w:tc>
        <w:tc>
          <w:tcPr>
            <w:tcW w:w="899" w:type="dxa"/>
            <w:tcBorders/>
            <w:vAlign w:val="center"/>
          </w:tcPr>
          <w:p>
            <w:pPr>
              <w:pStyle w:val="TableContents"/>
              <w:bidi w:val="0"/>
              <w:spacing w:before="0" w:after="283"/>
              <w:ind w:left="30" w:right="0" w:firstLine="30"/>
              <w:jc w:val="right"/>
              <w:rPr>
                <w:rFonts w:ascii="Times New Roman" w:hAnsi="Times New Roman"/>
                <w:color w:val="000000"/>
                <w:sz w:val="20"/>
              </w:rPr>
            </w:pPr>
            <w:r>
              <w:rPr>
                <w:rFonts w:ascii="Times New Roman" w:hAnsi="Times New Roman"/>
                <w:color w:val="000000"/>
                <w:sz w:val="20"/>
              </w:rPr>
              <w:t>45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Disclosure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Brown &amp; Brown, Inc., together with its subsidiaries (collectively, “we,” “Brown &amp; Brown” or the “Company”), makes “forward-looking statements” within the “safe harbor” provision of the Private Securities Litigation Reform Act of 1995, as amended, throughout this report and in the documents we incorporate by reference into this report.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Quarterly Report on Form 10-Q and the reports, statements, information and announcements incorporated by reference into this report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report include but are not limited to the following items, in addition to those matters described in Part I, Item 2 “Management’s Discussion and Analysis of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hire, retain and develop qualified employees, as well as the loss of any of our executive officers or other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cybersecurity attack or any other interruption in information technology and/or data security that may impact our operations or the operations of third parties that support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related to our international operations, which may result in additional risks or require more management time and expense than our domestic operations to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for additional resources and time to adequately respond to dynamics resulting from rapid technological change;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or significant change to any of our insurance company relationships, which could result in loss of capacity to write business, additional expense, loss of market share or material decrease in our commissions;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natural disasters on our profit-sharing contingent commissions, insurer capacity or claims expenses within our capitalized captive insurance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economic conditions, political conditions, outbreaks of war, disasters, or regulatory changes in states or countries where we have a concentration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maintain our culture or a significant change in management, management philosophy or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commission revenue as a result of factors outside of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sustained inflation or higher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Claims expense resulting from the limited underwriting risk associated with our participation in capitalized captive insurance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our automobile and recreational vehicle dealer services (“F&amp;I”)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or the termination of, certain programs administered by the U.S. federal government from which we derive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limitations of our system of disclosure and internal controls and procedures in preventing errors or fraud, or in informing management of all material information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control certain shareholders have over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data privacy and protection laws and regulations or any failure to comply with such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Improper disclosure of confidential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non-U.S. laws, regulations and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adverse effect of certain actual or potential claims, regulatory actions or proceedings on our businesses, results of operations, financial condition or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in our business practices and compensation arrangements with insurance carriers due to potential changes in regulations;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scrutiny and changing laws and expectations from regulators, investors and customers with respect to our environmental, social and governance practices and disclosure;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demand for liability insurance as a result of tort reform legislation;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comply with any covenants contained in our debt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possibility that covenants in our debt agreements could prevent us from engaging in certain potentially beneficial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U.S.-based credit markets that might adversely affect our business,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current U.S. or global economic conditions, including an extended slowdown in the markets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Disintermediation within the insurance industry, including increased competition from insurance companies, technology companies and the financial services industry, as well as the shift away from traditional insurance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that result in reduced insurer capacity;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Quarterly and annual variations in our commissions that result from the timing of policy renewals and the net effect of new and lost business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 risk, including the possibility that our goodwill may become impaired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pandemics, epidemics or outbreaks of infectious diseases, and the resulting governmental and societal responses;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as may be detailed from time to time in our public announcements and Securities and Exchange Commission (“SEC”) filings;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that the Company may not have currently identified or quantified.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filing, and the Company does not undertake any obligation to publicly update or correct any forward-looking statements to reflect events or circumstances that subsequently occur or of which the Company hereafter becomes aware.</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4" w:name="item_1_financial_statements_unaudited"/>
      <w:bookmarkEnd w:id="4"/>
      <w:r>
        <w:rPr>
          <w:rFonts w:ascii="Times New Roman" w:hAnsi="Times New Roman"/>
          <w:b/>
          <w:color w:val="000000"/>
          <w:sz w:val="20"/>
        </w:rPr>
        <w:t>ITEM 1 —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5" w:name="condensed_consolidated_statements_inc"/>
      <w:bookmarkEnd w:id="5"/>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12"/>
        <w:gridCol w:w="146"/>
        <w:gridCol w:w="282"/>
        <w:gridCol w:w="763"/>
        <w:gridCol w:w="221"/>
        <w:gridCol w:w="195"/>
        <w:gridCol w:w="282"/>
        <w:gridCol w:w="763"/>
        <w:gridCol w:w="166"/>
        <w:gridCol w:w="146"/>
        <w:gridCol w:w="273"/>
        <w:gridCol w:w="741"/>
        <w:gridCol w:w="215"/>
        <w:gridCol w:w="189"/>
        <w:gridCol w:w="273"/>
        <w:gridCol w:w="741"/>
        <w:gridCol w:w="597"/>
      </w:tblGrid>
      <w:tr>
        <w:trPr/>
        <w:tc>
          <w:tcPr>
            <w:tcW w:w="4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2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2"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4" w:type="dxa"/>
            <w:gridSpan w:val="2"/>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014" w:type="dxa"/>
            <w:gridSpan w:val="2"/>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ind w:left="0" w:right="0" w:firstLine="200"/>
              <w:jc w:val="left"/>
              <w:rPr/>
            </w:pPr>
            <w:r>
              <w:rPr/>
              <w:t> </w:t>
            </w:r>
          </w:p>
        </w:tc>
      </w:tr>
      <w:tr>
        <w:trPr/>
        <w:tc>
          <w:tcPr>
            <w:tcW w:w="42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Commissions and fees</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221"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w:t>
            </w:r>
          </w:p>
        </w:tc>
        <w:tc>
          <w:tcPr>
            <w:tcW w:w="597" w:type="dxa"/>
            <w:tcBorders/>
            <w:shd w:fill="FFFFFF" w:val="clear"/>
            <w:vAlign w:val="center"/>
          </w:tcPr>
          <w:p>
            <w:pPr>
              <w:pStyle w:val="TableContents"/>
              <w:bidi w:val="0"/>
              <w:spacing w:before="0" w:after="283"/>
              <w:ind w:left="0" w:right="0" w:firstLine="200"/>
              <w:jc w:val="left"/>
              <w:rPr/>
            </w:pPr>
            <w:r>
              <w:rPr/>
              <w:t> </w:t>
            </w:r>
          </w:p>
        </w:tc>
      </w:tr>
      <w:tr>
        <w:trPr/>
        <w:tc>
          <w:tcPr>
            <w:tcW w:w="42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21"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7" w:type="dxa"/>
            <w:tcBorders/>
            <w:shd w:fill="CFF0FC" w:val="clear"/>
            <w:vAlign w:val="center"/>
          </w:tcPr>
          <w:p>
            <w:pPr>
              <w:pStyle w:val="TableContents"/>
              <w:bidi w:val="0"/>
              <w:spacing w:before="0" w:after="283"/>
              <w:ind w:left="0" w:right="0" w:firstLine="200"/>
              <w:jc w:val="left"/>
              <w:rPr/>
            </w:pPr>
            <w:r>
              <w:rPr/>
              <w:t> </w:t>
            </w:r>
          </w:p>
        </w:tc>
      </w:tr>
      <w:tr>
        <w:trPr/>
        <w:tc>
          <w:tcPr>
            <w:tcW w:w="42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221"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597" w:type="dxa"/>
            <w:tcBorders/>
            <w:shd w:fill="CFF0FC"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ind w:left="0" w:right="0" w:firstLine="200"/>
              <w:jc w:val="left"/>
              <w:rPr/>
            </w:pPr>
            <w:r>
              <w:rPr/>
              <w:t> </w:t>
            </w:r>
          </w:p>
        </w:tc>
      </w:tr>
      <w:tr>
        <w:trPr/>
        <w:tc>
          <w:tcPr>
            <w:tcW w:w="42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221"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597" w:type="dxa"/>
            <w:tcBorders/>
            <w:shd w:fill="CFF0FC" w:val="clear"/>
            <w:vAlign w:val="center"/>
          </w:tcPr>
          <w:p>
            <w:pPr>
              <w:pStyle w:val="TableContents"/>
              <w:bidi w:val="0"/>
              <w:spacing w:before="0" w:after="283"/>
              <w:ind w:left="0" w:right="0" w:firstLine="200"/>
              <w:jc w:val="left"/>
              <w:rPr/>
            </w:pPr>
            <w:r>
              <w:rPr/>
              <w:t> </w:t>
            </w:r>
          </w:p>
        </w:tc>
      </w:tr>
      <w:tr>
        <w:trPr/>
        <w:tc>
          <w:tcPr>
            <w:tcW w:w="42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21"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597" w:type="dxa"/>
            <w:tcBorders/>
            <w:shd w:fill="FFFFFF" w:val="clear"/>
            <w:vAlign w:val="center"/>
          </w:tcPr>
          <w:p>
            <w:pPr>
              <w:pStyle w:val="TableContents"/>
              <w:bidi w:val="0"/>
              <w:spacing w:before="0" w:after="283"/>
              <w:ind w:left="0" w:right="0" w:firstLine="200"/>
              <w:jc w:val="left"/>
              <w:rPr/>
            </w:pPr>
            <w:r>
              <w:rPr/>
              <w:t> </w:t>
            </w:r>
          </w:p>
        </w:tc>
      </w:tr>
      <w:tr>
        <w:trPr/>
        <w:tc>
          <w:tcPr>
            <w:tcW w:w="42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disposal</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7"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21"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597" w:type="dxa"/>
            <w:tcBorders/>
            <w:shd w:fill="FFFFFF" w:val="clear"/>
            <w:vAlign w:val="center"/>
          </w:tcPr>
          <w:p>
            <w:pPr>
              <w:pStyle w:val="TableContents"/>
              <w:bidi w:val="0"/>
              <w:spacing w:before="0" w:after="283"/>
              <w:ind w:left="0" w:right="0" w:firstLine="200"/>
              <w:jc w:val="left"/>
              <w:rPr/>
            </w:pPr>
            <w:r>
              <w:rPr/>
              <w:t> </w:t>
            </w:r>
          </w:p>
        </w:tc>
      </w:tr>
      <w:tr>
        <w:trPr/>
        <w:tc>
          <w:tcPr>
            <w:tcW w:w="42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21"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7" w:type="dxa"/>
            <w:tcBorders/>
            <w:shd w:fill="CFF0FC" w:val="clear"/>
            <w:vAlign w:val="center"/>
          </w:tcPr>
          <w:p>
            <w:pPr>
              <w:pStyle w:val="TableContents"/>
              <w:bidi w:val="0"/>
              <w:spacing w:before="0" w:after="283"/>
              <w:ind w:left="0" w:right="0" w:firstLine="200"/>
              <w:jc w:val="left"/>
              <w:rPr/>
            </w:pPr>
            <w:r>
              <w:rPr/>
              <w:t> </w:t>
            </w:r>
          </w:p>
        </w:tc>
      </w:tr>
      <w:tr>
        <w:trPr/>
        <w:tc>
          <w:tcPr>
            <w:tcW w:w="42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21"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97" w:type="dxa"/>
            <w:tcBorders/>
            <w:shd w:fill="FFFFFF" w:val="clear"/>
            <w:vAlign w:val="center"/>
          </w:tcPr>
          <w:p>
            <w:pPr>
              <w:pStyle w:val="TableContents"/>
              <w:bidi w:val="0"/>
              <w:spacing w:before="0" w:after="283"/>
              <w:ind w:left="0" w:right="0" w:firstLine="200"/>
              <w:jc w:val="left"/>
              <w:rPr/>
            </w:pPr>
            <w:r>
              <w:rPr/>
              <w:t> </w:t>
            </w:r>
          </w:p>
        </w:tc>
      </w:tr>
      <w:tr>
        <w:trPr/>
        <w:tc>
          <w:tcPr>
            <w:tcW w:w="42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221"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597" w:type="dxa"/>
            <w:tcBorders/>
            <w:shd w:fill="CFF0FC"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non-controlling interests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221"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597" w:type="dxa"/>
            <w:tcBorders/>
            <w:shd w:fill="CFF0FC"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ind w:left="0" w:right="0" w:firstLine="200"/>
              <w:jc w:val="left"/>
              <w:rPr/>
            </w:pPr>
            <w:r>
              <w:rPr/>
              <w:t> </w:t>
            </w:r>
          </w:p>
        </w:tc>
      </w:tr>
      <w:tr>
        <w:trPr/>
        <w:tc>
          <w:tcPr>
            <w:tcW w:w="42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6" w:name="condensed_consolidated_stmt_comp_income"/>
      <w:bookmarkEnd w:id="6"/>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256"/>
        <w:gridCol w:w="146"/>
        <w:gridCol w:w="351"/>
        <w:gridCol w:w="701"/>
        <w:gridCol w:w="242"/>
        <w:gridCol w:w="242"/>
        <w:gridCol w:w="351"/>
        <w:gridCol w:w="701"/>
        <w:gridCol w:w="166"/>
        <w:gridCol w:w="146"/>
        <w:gridCol w:w="339"/>
        <w:gridCol w:w="678"/>
        <w:gridCol w:w="235"/>
        <w:gridCol w:w="235"/>
        <w:gridCol w:w="339"/>
        <w:gridCol w:w="678"/>
        <w:gridCol w:w="399"/>
      </w:tblGrid>
      <w:tr>
        <w:trPr/>
        <w:tc>
          <w:tcPr>
            <w:tcW w:w="4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42"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235"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399" w:type="dxa"/>
            <w:tcBorders/>
            <w:shd w:fill="CFF0FC" w:val="clear"/>
            <w:vAlign w:val="center"/>
          </w:tcPr>
          <w:p>
            <w:pPr>
              <w:pStyle w:val="TableContents"/>
              <w:bidi w:val="0"/>
              <w:spacing w:before="0" w:after="283"/>
              <w:ind w:left="0" w:right="0" w:firstLine="200"/>
              <w:jc w:val="left"/>
              <w:rPr/>
            </w:pPr>
            <w:r>
              <w:rPr/>
              <w:t> </w:t>
            </w:r>
          </w:p>
        </w:tc>
      </w:tr>
      <w:tr>
        <w:trPr/>
        <w:tc>
          <w:tcPr>
            <w:tcW w:w="4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gain/(loss)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42"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35"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9" w:type="dxa"/>
            <w:tcBorders/>
            <w:shd w:fill="FFFFFF" w:val="clear"/>
            <w:vAlign w:val="center"/>
          </w:tcPr>
          <w:p>
            <w:pPr>
              <w:pStyle w:val="TableContents"/>
              <w:bidi w:val="0"/>
              <w:spacing w:before="0" w:after="283"/>
              <w:jc w:val="left"/>
              <w:rPr/>
            </w:pPr>
            <w:r>
              <w:rPr/>
              <w:t> </w:t>
            </w:r>
          </w:p>
        </w:tc>
      </w:tr>
      <w:tr>
        <w:trPr/>
        <w:tc>
          <w:tcPr>
            <w:tcW w:w="4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the Company</w:t>
            </w:r>
          </w:p>
        </w:tc>
        <w:tc>
          <w:tcPr>
            <w:tcW w:w="146" w:type="dxa"/>
            <w:tcBorders/>
            <w:shd w:fill="CFF0FC" w:val="clear"/>
            <w:vAlign w:val="center"/>
          </w:tcPr>
          <w:p>
            <w:pPr>
              <w:pStyle w:val="TableContents"/>
              <w:bidi w:val="0"/>
              <w:spacing w:before="0" w:after="283"/>
              <w:jc w:val="left"/>
              <w:rPr/>
            </w:pPr>
            <w:r>
              <w:rPr/>
              <w:t> </w:t>
            </w:r>
          </w:p>
        </w:tc>
        <w:tc>
          <w:tcPr>
            <w:tcW w:w="3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42"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3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3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399"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7" w:name="condensed_consolidated_balance_sheets"/>
      <w:bookmarkEnd w:id="7"/>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91"/>
        <w:gridCol w:w="146"/>
        <w:gridCol w:w="295"/>
        <w:gridCol w:w="948"/>
        <w:gridCol w:w="166"/>
        <w:gridCol w:w="146"/>
        <w:gridCol w:w="290"/>
        <w:gridCol w:w="929"/>
        <w:gridCol w:w="594"/>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69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vAlign w:val="center"/>
          </w:tcPr>
          <w:p>
            <w:pPr>
              <w:pStyle w:val="TableContents"/>
              <w:bidi w:val="0"/>
              <w:spacing w:before="0" w:after="283"/>
              <w:jc w:val="left"/>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4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6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24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6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Fiduciary cash</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Commission, fees and other receivables</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Fiduciary receivables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Reinsurance recoverable</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reinsurance premiums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w:t>
            </w:r>
          </w:p>
        </w:tc>
        <w:tc>
          <w:tcPr>
            <w:tcW w:w="594" w:type="dxa"/>
            <w:tcBorders/>
            <w:shd w:fill="CFF0FC" w:val="clear"/>
            <w:vAlign w:val="center"/>
          </w:tcPr>
          <w:p>
            <w:pPr>
              <w:pStyle w:val="TableContents"/>
              <w:bidi w:val="0"/>
              <w:spacing w:before="0" w:after="283"/>
              <w:jc w:val="left"/>
              <w:rPr/>
            </w:pPr>
            <w:r>
              <w:rPr/>
              <w:t> </w:t>
            </w:r>
          </w:p>
        </w:tc>
      </w:tr>
      <w:tr>
        <w:trPr/>
        <w:tc>
          <w:tcPr>
            <w:tcW w:w="6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94" w:type="dxa"/>
            <w:tcBorders/>
            <w:shd w:fill="FFFFFF" w:val="clear"/>
            <w:vAlign w:val="center"/>
          </w:tcPr>
          <w:p>
            <w:pPr>
              <w:pStyle w:val="TableContents"/>
              <w:bidi w:val="0"/>
              <w:spacing w:before="0" w:after="283"/>
              <w:jc w:val="left"/>
              <w:rPr/>
            </w:pPr>
            <w:r>
              <w:rPr/>
              <w:t> </w:t>
            </w:r>
          </w:p>
        </w:tc>
      </w:tr>
      <w:tr>
        <w:trPr/>
        <w:tc>
          <w:tcPr>
            <w:tcW w:w="6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594" w:type="dxa"/>
            <w:tcBorders/>
            <w:shd w:fill="CFF0FC" w:val="clear"/>
            <w:vAlign w:val="center"/>
          </w:tcPr>
          <w:p>
            <w:pPr>
              <w:pStyle w:val="TableContents"/>
              <w:bidi w:val="0"/>
              <w:spacing w:before="0" w:after="283"/>
              <w:jc w:val="left"/>
              <w:rPr/>
            </w:pPr>
            <w:r>
              <w:rPr/>
              <w:t> </w:t>
            </w:r>
          </w:p>
        </w:tc>
      </w:tr>
      <w:tr>
        <w:trPr/>
        <w:tc>
          <w:tcPr>
            <w:tcW w:w="6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w:t>
            </w:r>
          </w:p>
        </w:tc>
        <w:tc>
          <w:tcPr>
            <w:tcW w:w="594" w:type="dxa"/>
            <w:tcBorders/>
            <w:shd w:fill="FFFFFF" w:val="clear"/>
            <w:vAlign w:val="center"/>
          </w:tcPr>
          <w:p>
            <w:pPr>
              <w:pStyle w:val="TableContents"/>
              <w:bidi w:val="0"/>
              <w:spacing w:before="0" w:after="283"/>
              <w:jc w:val="left"/>
              <w:rPr/>
            </w:pPr>
            <w:r>
              <w:rPr/>
              <w:t> </w:t>
            </w:r>
          </w:p>
        </w:tc>
      </w:tr>
      <w:tr>
        <w:trPr/>
        <w:tc>
          <w:tcPr>
            <w:tcW w:w="6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Amortizable intangible assets, net</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594" w:type="dxa"/>
            <w:tcBorders/>
            <w:shd w:fill="CFF0FC" w:val="clear"/>
            <w:vAlign w:val="center"/>
          </w:tcPr>
          <w:p>
            <w:pPr>
              <w:pStyle w:val="TableContents"/>
              <w:bidi w:val="0"/>
              <w:spacing w:before="0" w:after="283"/>
              <w:jc w:val="left"/>
              <w:rPr/>
            </w:pPr>
            <w:r>
              <w:rPr/>
              <w:t> </w:t>
            </w:r>
          </w:p>
        </w:tc>
      </w:tr>
      <w:tr>
        <w:trPr/>
        <w:tc>
          <w:tcPr>
            <w:tcW w:w="6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4" w:type="dxa"/>
            <w:tcBorders/>
            <w:shd w:fill="FFFFFF" w:val="clear"/>
            <w:vAlign w:val="center"/>
          </w:tcPr>
          <w:p>
            <w:pPr>
              <w:pStyle w:val="TableContents"/>
              <w:bidi w:val="0"/>
              <w:spacing w:before="0" w:after="283"/>
              <w:jc w:val="left"/>
              <w:rPr/>
            </w:pPr>
            <w:r>
              <w:rPr/>
              <w:t> </w:t>
            </w:r>
          </w:p>
        </w:tc>
      </w:tr>
      <w:tr>
        <w:trPr/>
        <w:tc>
          <w:tcPr>
            <w:tcW w:w="6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14,883</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vAlign w:val="center"/>
          </w:tcPr>
          <w:p>
            <w:pPr>
              <w:pStyle w:val="TableContents"/>
              <w:bidi w:val="0"/>
              <w:spacing w:before="0" w:after="283"/>
              <w:jc w:val="left"/>
              <w:rPr/>
            </w:pPr>
            <w:r>
              <w:rPr/>
              <w:t> </w:t>
            </w:r>
          </w:p>
        </w:tc>
        <w:tc>
          <w:tcPr>
            <w:tcW w:w="124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6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24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6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Fiduciary liabilities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Losses and loss adjustment reserve</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Unearned premiums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w:t>
            </w:r>
          </w:p>
        </w:tc>
        <w:tc>
          <w:tcPr>
            <w:tcW w:w="594" w:type="dxa"/>
            <w:tcBorders/>
            <w:shd w:fill="CFF0FC" w:val="clear"/>
            <w:vAlign w:val="center"/>
          </w:tcPr>
          <w:p>
            <w:pPr>
              <w:pStyle w:val="TableContents"/>
              <w:bidi w:val="0"/>
              <w:spacing w:before="0" w:after="283"/>
              <w:jc w:val="left"/>
              <w:rPr/>
            </w:pPr>
            <w:r>
              <w:rPr/>
              <w:t> </w:t>
            </w:r>
          </w:p>
        </w:tc>
      </w:tr>
      <w:tr>
        <w:trPr/>
        <w:tc>
          <w:tcPr>
            <w:tcW w:w="6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unamortized discount and debt issuance costs</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594" w:type="dxa"/>
            <w:tcBorders/>
            <w:shd w:fill="FFFFFF" w:val="clear"/>
            <w:vAlign w:val="center"/>
          </w:tcPr>
          <w:p>
            <w:pPr>
              <w:pStyle w:val="TableContents"/>
              <w:bidi w:val="0"/>
              <w:spacing w:before="0" w:after="283"/>
              <w:jc w:val="left"/>
              <w:rPr/>
            </w:pPr>
            <w:r>
              <w:rPr/>
              <w:t> </w:t>
            </w:r>
          </w:p>
        </w:tc>
      </w:tr>
      <w:tr>
        <w:trPr/>
        <w:tc>
          <w:tcPr>
            <w:tcW w:w="6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594" w:type="dxa"/>
            <w:tcBorders/>
            <w:shd w:fill="CFF0FC" w:val="clear"/>
            <w:vAlign w:val="center"/>
          </w:tcPr>
          <w:p>
            <w:pPr>
              <w:pStyle w:val="TableContents"/>
              <w:bidi w:val="0"/>
              <w:spacing w:before="0" w:after="283"/>
              <w:jc w:val="left"/>
              <w:rPr/>
            </w:pPr>
            <w:r>
              <w:rPr/>
              <w:t> </w:t>
            </w:r>
          </w:p>
        </w:tc>
      </w:tr>
      <w:tr>
        <w:trPr/>
        <w:tc>
          <w:tcPr>
            <w:tcW w:w="6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594" w:type="dxa"/>
            <w:tcBorders/>
            <w:shd w:fill="FFFFFF" w:val="clear"/>
            <w:vAlign w:val="center"/>
          </w:tcPr>
          <w:p>
            <w:pPr>
              <w:pStyle w:val="TableContents"/>
              <w:bidi w:val="0"/>
              <w:spacing w:before="0" w:after="283"/>
              <w:jc w:val="left"/>
              <w:rPr/>
            </w:pPr>
            <w:r>
              <w:rPr/>
              <w:t> </w:t>
            </w:r>
          </w:p>
        </w:tc>
      </w:tr>
      <w:tr>
        <w:trPr/>
        <w:tc>
          <w:tcPr>
            <w:tcW w:w="6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594" w:type="dxa"/>
            <w:tcBorders/>
            <w:shd w:fill="CFF0FC" w:val="clear"/>
            <w:vAlign w:val="center"/>
          </w:tcPr>
          <w:p>
            <w:pPr>
              <w:pStyle w:val="TableContents"/>
              <w:bidi w:val="0"/>
              <w:spacing w:before="0" w:after="283"/>
              <w:jc w:val="left"/>
              <w:rPr/>
            </w:pPr>
            <w:r>
              <w:rPr/>
              <w:t> </w:t>
            </w:r>
          </w:p>
        </w:tc>
      </w:tr>
      <w:tr>
        <w:trPr/>
        <w:tc>
          <w:tcPr>
            <w:tcW w:w="6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vAlign w:val="center"/>
          </w:tcPr>
          <w:p>
            <w:pPr>
              <w:pStyle w:val="TableContents"/>
              <w:bidi w:val="0"/>
              <w:spacing w:before="0" w:after="283"/>
              <w:jc w:val="left"/>
              <w:rPr/>
            </w:pPr>
            <w:r>
              <w:rPr/>
              <w:t> </w:t>
            </w:r>
          </w:p>
        </w:tc>
        <w:tc>
          <w:tcPr>
            <w:tcW w:w="124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6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par value $0.10 per share; authorized 560 shares; issued 306 shares and outstanding 286 shares at 2024, issued 304</w:t>
              <w:br/>
              <w:t>shares and outstanding 285 shares at 2023, respectively</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at cost 20 shares at 2024 and 2023</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59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9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14,883</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sz w:val="20"/>
        </w:rPr>
      </w:pPr>
      <w:bookmarkStart w:id="8" w:name="condensed_consolidated_statements_equity"/>
      <w:bookmarkEnd w:id="8"/>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946" w:type="dxa"/>
        <w:jc w:val="left"/>
        <w:tblInd w:w="0" w:type="dxa"/>
        <w:tblLayout w:type="fixed"/>
        <w:tblCellMar>
          <w:top w:w="28" w:type="dxa"/>
          <w:left w:w="28" w:type="dxa"/>
          <w:bottom w:w="28" w:type="dxa"/>
          <w:right w:w="28" w:type="dxa"/>
        </w:tblCellMar>
      </w:tblPr>
      <w:tblGrid>
        <w:gridCol w:w="1216"/>
        <w:gridCol w:w="146"/>
        <w:gridCol w:w="281"/>
        <w:gridCol w:w="725"/>
        <w:gridCol w:w="166"/>
        <w:gridCol w:w="146"/>
        <w:gridCol w:w="213"/>
        <w:gridCol w:w="313"/>
        <w:gridCol w:w="146"/>
        <w:gridCol w:w="146"/>
        <w:gridCol w:w="241"/>
        <w:gridCol w:w="630"/>
        <w:gridCol w:w="166"/>
        <w:gridCol w:w="146"/>
        <w:gridCol w:w="237"/>
        <w:gridCol w:w="529"/>
        <w:gridCol w:w="166"/>
        <w:gridCol w:w="146"/>
        <w:gridCol w:w="377"/>
        <w:gridCol w:w="839"/>
        <w:gridCol w:w="166"/>
        <w:gridCol w:w="146"/>
        <w:gridCol w:w="208"/>
        <w:gridCol w:w="543"/>
        <w:gridCol w:w="166"/>
        <w:gridCol w:w="146"/>
        <w:gridCol w:w="472"/>
        <w:gridCol w:w="834"/>
        <w:gridCol w:w="146"/>
        <w:gridCol w:w="146"/>
        <w:gridCol w:w="196"/>
        <w:gridCol w:w="511"/>
        <w:gridCol w:w="2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291" w:type="dxa"/>
            <w:tcBorders/>
            <w:shd w:fill="FFFFFF" w:val="cle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 employee stock compensation plans:</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2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2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 incentive plans</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91" w:type="dxa"/>
            <w:tcBorders/>
            <w:shd w:fill="FFFFFF" w:val="cle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non-controlling interest acquired (disposed)</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91" w:type="dxa"/>
            <w:tcBorders/>
            <w:shd w:fill="CFF0FC" w:val="cle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shares to fund tax withholdings for non-cash stock-based compensation</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($0.1300</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w:t>
            </w:r>
          </w:p>
        </w:tc>
        <w:tc>
          <w:tcPr>
            <w:tcW w:w="291" w:type="dxa"/>
            <w:tcBorders/>
            <w:shd w:fill="CFF0FC" w:val="cle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91" w:type="dxa"/>
            <w:tcBorders/>
            <w:shd w:fill="FFFFFF" w:val="cle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 employee stock compensation plans:</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2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2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 incentive plans</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91" w:type="dxa"/>
            <w:tcBorders/>
            <w:shd w:fill="CFF0FC" w:val="cle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FFFFFF" w:val="cle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($0.1300</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2024</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291" w:type="dxa"/>
            <w:tcBorders/>
            <w:shd w:fill="CFF0FC" w:val="cle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291" w:type="dxa"/>
            <w:tcBorders/>
            <w:shd w:fill="FFFFFF" w:val="cle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 employee stock compensation plans:</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2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2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 incentive plans</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91" w:type="dxa"/>
            <w:tcBorders/>
            <w:shd w:fill="CFF0FC" w:val="cle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($0.1300</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291" w:type="dxa"/>
            <w:tcBorders/>
            <w:shd w:fill="CFF0FC" w:val="cle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91" w:type="dxa"/>
            <w:tcBorders/>
            <w:shd w:fill="FFFFFF" w:val="cle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 employee stock compensation plans:</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2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2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 incentive plans</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91" w:type="dxa"/>
            <w:tcBorders/>
            <w:shd w:fill="CFF0FC" w:val="cle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shares to fund tax withholdings for non-cash stock-based compensation</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($0.1150</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2023</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c>
          <w:tcPr>
            <w:tcW w:w="291" w:type="dxa"/>
            <w:tcBorders/>
            <w:shd w:fill="CFF0FC" w:val="cle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91" w:type="dxa"/>
            <w:tcBorders/>
            <w:shd w:fill="FFFFFF" w:val="cle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 employee stock compensation plans:</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2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2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 incentive plans</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91" w:type="dxa"/>
            <w:tcBorders/>
            <w:shd w:fill="CFF0FC" w:val="cle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FFFFFF" w:val="cle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shares to fund tax withholdings for non-cash stock-based compensation</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($0.1150</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2023</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91" w:type="dxa"/>
            <w:tcBorders/>
            <w:shd w:fill="FFFFFF" w:val="cle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 employee stock compensation plans:</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2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2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 incentive plans</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91" w:type="dxa"/>
            <w:tcBorders/>
            <w:shd w:fill="FFFFFF" w:val="cle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Agency acquisition</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($0.1150</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sz w:val="20"/>
        </w:rPr>
      </w:pPr>
      <w:bookmarkStart w:id="9" w:name="condensed_consolidated_statements_cash"/>
      <w:bookmarkEnd w:id="9"/>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5"/>
        <w:gridCol w:w="146"/>
        <w:gridCol w:w="258"/>
        <w:gridCol w:w="773"/>
        <w:gridCol w:w="203"/>
        <w:gridCol w:w="178"/>
        <w:gridCol w:w="258"/>
        <w:gridCol w:w="699"/>
        <w:gridCol w:w="615"/>
      </w:tblGrid>
      <w:tr>
        <w:trPr/>
        <w:tc>
          <w:tcPr>
            <w:tcW w:w="7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0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5"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center"/>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31" w:type="dxa"/>
            <w:gridSpan w:val="2"/>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957"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right"/>
              <w:rPr/>
            </w:pPr>
            <w:r>
              <w:rPr/>
              <w:t> </w:t>
            </w:r>
          </w:p>
        </w:tc>
      </w:tr>
      <w:tr>
        <w:trPr/>
        <w:tc>
          <w:tcPr>
            <w:tcW w:w="70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non-controlling interests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203"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615" w:type="dxa"/>
            <w:tcBorders/>
            <w:shd w:fill="FFFFFF" w:val="clear"/>
            <w:vAlign w:val="center"/>
          </w:tcPr>
          <w:p>
            <w:pPr>
              <w:pStyle w:val="TableContents"/>
              <w:bidi w:val="0"/>
              <w:spacing w:before="0" w:after="283"/>
              <w:jc w:val="left"/>
              <w:rPr/>
            </w:pPr>
            <w:r>
              <w:rPr/>
              <w:t> </w:t>
            </w:r>
          </w:p>
        </w:tc>
      </w:tr>
      <w:tr>
        <w:trPr/>
        <w:tc>
          <w:tcPr>
            <w:tcW w:w="70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before non-controlling interests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031" w:type="dxa"/>
            <w:gridSpan w:val="2"/>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957"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200"/>
              <w:jc w:val="right"/>
              <w:rPr/>
            </w:pPr>
            <w:r>
              <w:rPr/>
              <w:t> </w:t>
            </w:r>
          </w:p>
        </w:tc>
      </w:tr>
      <w:tr>
        <w:trPr/>
        <w:tc>
          <w:tcPr>
            <w:tcW w:w="70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03"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03"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70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03"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70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debt discount and disposal of deferred financing costs</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03"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70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gain on sales/disposals of investments, businesses, fixed assets and customer accounts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acquisition earn-outs in excess of original estimated payables</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 net of effect from acquisitions and divestitures:</w:t>
            </w:r>
          </w:p>
        </w:tc>
        <w:tc>
          <w:tcPr>
            <w:tcW w:w="146" w:type="dxa"/>
            <w:tcBorders/>
            <w:shd w:fill="FFFFFF" w:val="clear"/>
            <w:vAlign w:val="center"/>
          </w:tcPr>
          <w:p>
            <w:pPr>
              <w:pStyle w:val="TableContents"/>
              <w:bidi w:val="0"/>
              <w:spacing w:before="0" w:after="283"/>
              <w:jc w:val="left"/>
              <w:rPr/>
            </w:pPr>
            <w:r>
              <w:rPr/>
              <w:t> </w:t>
            </w:r>
          </w:p>
        </w:tc>
        <w:tc>
          <w:tcPr>
            <w:tcW w:w="1031" w:type="dxa"/>
            <w:gridSpan w:val="2"/>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200"/>
              <w:jc w:val="right"/>
              <w:rPr/>
            </w:pPr>
            <w:r>
              <w:rPr/>
              <w:t> </w:t>
            </w:r>
          </w:p>
        </w:tc>
      </w:tr>
      <w:tr>
        <w:trPr/>
        <w:tc>
          <w:tcPr>
            <w:tcW w:w="70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Commissions, fees and other receivables (increase) decrease</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6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Reinsurance recoverable (increase) decrease</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w:t>
            </w:r>
          </w:p>
        </w:tc>
        <w:tc>
          <w:tcPr>
            <w:tcW w:w="2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reinsurance premiums (increase) decrease</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6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 (increase) decrease</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Losses and loss adjustment reserve increase (decrease)</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203"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6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Unearned premiums increase (decrease)</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03"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increase (decrease)</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70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liabilities increase (decrease)</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 increase (decrease)</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031" w:type="dxa"/>
            <w:gridSpan w:val="2"/>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957"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right"/>
              <w:rPr/>
            </w:pPr>
            <w:r>
              <w:rPr/>
              <w:t> </w:t>
            </w:r>
          </w:p>
        </w:tc>
      </w:tr>
      <w:tr>
        <w:trPr/>
        <w:tc>
          <w:tcPr>
            <w:tcW w:w="70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fixed assets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businesses acquired, net of cash acquired</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6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of businesses, fixed assets and customer accounts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03"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5" w:type="dxa"/>
            <w:tcBorders/>
            <w:shd w:fill="FFFFFF" w:val="clear"/>
            <w:vAlign w:val="center"/>
          </w:tcPr>
          <w:p>
            <w:pPr>
              <w:pStyle w:val="TableContents"/>
              <w:bidi w:val="0"/>
              <w:spacing w:before="0" w:after="283"/>
              <w:jc w:val="left"/>
              <w:rPr/>
            </w:pPr>
            <w:r>
              <w:rPr/>
              <w:t> </w:t>
            </w:r>
          </w:p>
        </w:tc>
      </w:tr>
      <w:tr>
        <w:trPr/>
        <w:tc>
          <w:tcPr>
            <w:tcW w:w="70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of investments</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75"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31" w:type="dxa"/>
            <w:gridSpan w:val="2"/>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jc w:val="right"/>
              <w:rPr/>
            </w:pPr>
            <w:r>
              <w:rPr/>
              <w:t> </w:t>
            </w:r>
          </w:p>
        </w:tc>
      </w:tr>
      <w:tr>
        <w:trPr/>
        <w:tc>
          <w:tcPr>
            <w:tcW w:w="70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Fiduciary receivables and liabilities, net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03"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615" w:type="dxa"/>
            <w:tcBorders/>
            <w:shd w:fill="CFF0FC"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acquisition earn-outs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6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long-term debt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203"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color w:val="000000"/>
              </w:rPr>
            </w:pPr>
            <w:r>
              <w:rPr>
                <w:color w:val="000000"/>
              </w:rPr>
              <w:t>—</w:t>
            </w:r>
          </w:p>
        </w:tc>
        <w:tc>
          <w:tcPr>
            <w:tcW w:w="615" w:type="dxa"/>
            <w:tcBorders/>
            <w:shd w:fill="CFF0FC"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long-term debt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2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6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debt issuance costs</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color w:val="000000"/>
              </w:rPr>
            </w:pPr>
            <w:r>
              <w:rPr>
                <w:color w:val="000000"/>
              </w:rPr>
              <w:t>—</w:t>
            </w:r>
          </w:p>
        </w:tc>
        <w:tc>
          <w:tcPr>
            <w:tcW w:w="615" w:type="dxa"/>
            <w:tcBorders/>
            <w:shd w:fill="CFF0FC" w:val="clear"/>
            <w:vAlign w:val="center"/>
          </w:tcPr>
          <w:p>
            <w:pPr>
              <w:pStyle w:val="TableContents"/>
              <w:bidi w:val="0"/>
              <w:spacing w:before="0" w:after="283"/>
              <w:jc w:val="left"/>
              <w:rPr/>
            </w:pPr>
            <w:r>
              <w:rPr/>
              <w:t> </w:t>
            </w:r>
          </w:p>
        </w:tc>
      </w:tr>
      <w:tr>
        <w:trPr/>
        <w:tc>
          <w:tcPr>
            <w:tcW w:w="70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on revolving credit facility</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03"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615" w:type="dxa"/>
            <w:tcBorders/>
            <w:shd w:fill="FFFFFF" w:val="clear"/>
            <w:vAlign w:val="center"/>
          </w:tcPr>
          <w:p>
            <w:pPr>
              <w:pStyle w:val="TableContents"/>
              <w:bidi w:val="0"/>
              <w:spacing w:before="0" w:after="283"/>
              <w:jc w:val="left"/>
              <w:rPr/>
            </w:pPr>
            <w:r>
              <w:rPr/>
              <w:t> </w:t>
            </w:r>
          </w:p>
        </w:tc>
      </w:tr>
      <w:tr>
        <w:trPr/>
        <w:tc>
          <w:tcPr>
            <w:tcW w:w="70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revolving credit facility</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6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Issuances of common stock for employee stock benefit plans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03"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5" w:type="dxa"/>
            <w:tcBorders/>
            <w:shd w:fill="FFFFFF" w:val="clear"/>
            <w:vAlign w:val="center"/>
          </w:tcPr>
          <w:p>
            <w:pPr>
              <w:pStyle w:val="TableContents"/>
              <w:bidi w:val="0"/>
              <w:spacing w:before="0" w:after="283"/>
              <w:jc w:val="left"/>
              <w:rPr/>
            </w:pPr>
            <w:r>
              <w:rPr/>
              <w:t> </w:t>
            </w:r>
          </w:p>
        </w:tc>
      </w:tr>
      <w:tr>
        <w:trPr/>
        <w:tc>
          <w:tcPr>
            <w:tcW w:w="70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shares to fund tax withholdings for non-cash stock-based compensation</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dividends paid</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financing activities</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75"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 on cash and cash equivalents inclusive of fiduciary cash</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75"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increase in cash and cash equivalents inclusive of fiduciary cash</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03"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615" w:type="dxa"/>
            <w:tcBorders/>
            <w:shd w:fill="FFFFFF" w:val="clear"/>
            <w:vAlign w:val="center"/>
          </w:tcPr>
          <w:p>
            <w:pPr>
              <w:pStyle w:val="TableContents"/>
              <w:bidi w:val="0"/>
              <w:spacing w:before="0" w:after="283"/>
              <w:jc w:val="left"/>
              <w:rPr/>
            </w:pPr>
            <w:r>
              <w:rPr/>
              <w:t> </w:t>
            </w:r>
          </w:p>
        </w:tc>
      </w:tr>
      <w:tr>
        <w:trPr/>
        <w:tc>
          <w:tcPr>
            <w:tcW w:w="70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inclusive of fiduciary cash at beginning of period</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75"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Cash and cash equivalents inclusive of fiduciary cash at end of period</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 Refer to Note 10 for the reconciliations of cash and cash equivalents inclusive of fiduciary cash.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Nature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Brown &amp; Brown, Inc., a Florida corporation, and its subsidiaries (collectively, “Brown &amp; Brown” or the “Company”) is a diversified insurance agency, wholesale brokerage, insurance programs and service organization that markets and sells insurance products and services, primarily in the property, casualty and employee benefits areas. Brown &amp; Brown’s business is divided into three reportable segments. The Retail segment provides a broad range of insurance products and services to commercial, public and quasi-public entities, professional and individual insured customers, and non-insurance risk-mitigating products through our automobile and recreational vehicle dealer services (“F&amp;I”) businesses. The Programs segment, which acts as a managing general underwriter (“MGU”), provides professional liability and related package products for certain professionals, a range of insurance products for individuals, flood coverage, and targeted products and services designated for specific industries, trade groups, governmental entities and market niches, all of which are delivered through a nationwide network of independent agents, including Brown &amp; Brown retail agents. The Wholesale Brokerage segment markets and sells excess and surplus commercial and personal lines insurance, primarily through independent agents and brokers, as well as Brown &amp; Brown retail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primarily operates as an agent or broker not assuming underwriting risks. However, we operate a write-your-own flood insurance carrier, Wright National Flood Insurance Company (“WNFIC”). WNFIC’s underwriting business consists of policies written pursuant to the National Flood Insurance Program (“NFIP”), the program administered by the Federal Emergency Management Agency (“FEMA”) to which premiums and underwriting exposure are ceded, and excess flood policies which are fully reinsured in the private market. The Company also operates two capitalized captive insurance facilities (the "Captives") for the purpose of facilitating additional underwriting capacity, generating incremental revenues and participating in underwriting results.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Basis of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of America (“U.S. GAAP”) for interim financial information and with the instructions for Form 10-Q and Article 10 of Regulation S-X. Accordingly, they do not include all of the information and footnotes required by U.S. GAAP for complete financial statements. In the opinion of management, all adjustments (consisting of recurring accruals) necessary for a fair presentation have been included. These unaudited Condensed Consolidated Financial Statements should be read in conjunction with the audited Consolidated Financial Statements and the Notes thereto set forth in the Company’s Annual Report on Form 10-K for the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these financial statements in conformity with U.S. GAAP requires management to make estimates and assumptions that affect the reported amounts of assets and liabilities, as well as disclosures of contingent assets and liabilities, at the date of the Condensed Consolidated Financial Statements, and the reported amounts of revenues and expenses during the reporting period. Actual results may differ from those estimates.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Business Realignment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divestiture of certain businesses within the Company’s former Services segment in the fourth quarter of 2023, the Company aligned its business from four to three segments beginning in fiscal year 2024. As a result of the segment reorganization, the Services segment was eliminated as a business segment. The Company now reports its financial results in the following three reportable segments: Retail, Programs and Wholesale Brokerage. The historical results, discussion and presentation of our business segments as set forth in the accompanying Condensed Consolidated Financial Statements and these Notes reflect the impact of these changes for all periods presented in order to present segment information on a comparable basis. The results of the businesses sold in the fourth quarter of 2023 are presented within the Programs segment. There is no impact on our previously reported consolidated statements of income, balance sheets, statements of cash flows, statements of comprehensive income or statements of equity resulting from these changes. See Note 12 of these Notes to Condensed Consolidated Financial Statements for further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sale of certain third-party claims administration and adjusting services businesses in the fourth quarter of 2023, the Company is entitled to future consideration payments upon achievement of certain conditions in accordance with the terms of the sale agreement. During the second quarter of 2024, the conditions associated with one of the contingent payments were achieved which resulted in the Company recognizing a gain of $29 million within the Programs segment.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27, 2023, the Financial Accounting Standards Board ("FASB") issued Accounting Standards Update ("ASU") 2023-07, "Improvements to Reportable Segment Disclosures." This ASU requires additional reportable segment disclosures, primarily through enhanced disclosures about significant segment expenses. In addition, the ASU enhances interim disclosure requirements effectively making the current annual requirements a requirement for interim reporting. This ASU is effective for fiscal years beginning after December 15, 2023, and interim periods within fiscal years beginning after December 15, 2024. Early adoption is permitted. The ASU will require additional disclosures in Note 12 of these Notes to Condensed Consolidated Financial Statements but will not have a material impact on the Consolidated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14, 2023, the FASB issued ASU 2023-09, "Improvements to Income Tax Disclosures." This ASU improves the transparency of income tax disclosures by requiring consistent categories and greater disaggregation of information in the rate reconciliation and income taxes paid disaggregated by jurisdiction. This ASU is effective for annual periods beginning after December 15, 2024. Early adoption is permitted. The Company is currently evaluating these new disclosure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Adopted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revenues disaggregated by revenue source:</w:t>
      </w:r>
    </w:p>
    <w:p>
      <w:pPr>
        <w:pStyle w:val="TextBody"/>
        <w:bidi w:val="0"/>
        <w:spacing w:before="120" w:after="283"/>
        <w:jc w:val="left"/>
        <w:rPr/>
      </w:pPr>
      <w:r>
        <w:rPr/>
        <w:t> </w:t>
      </w:r>
    </w:p>
    <w:tbl>
      <w:tblPr>
        <w:tblW w:w="8987" w:type="dxa"/>
        <w:jc w:val="left"/>
        <w:tblInd w:w="0" w:type="dxa"/>
        <w:tblLayout w:type="fixed"/>
        <w:tblCellMar>
          <w:top w:w="28" w:type="dxa"/>
          <w:left w:w="28" w:type="dxa"/>
          <w:bottom w:w="28" w:type="dxa"/>
          <w:right w:w="28" w:type="dxa"/>
        </w:tblCellMar>
      </w:tblPr>
      <w:tblGrid>
        <w:gridCol w:w="3466"/>
        <w:gridCol w:w="146"/>
        <w:gridCol w:w="211"/>
        <w:gridCol w:w="421"/>
        <w:gridCol w:w="146"/>
        <w:gridCol w:w="146"/>
        <w:gridCol w:w="275"/>
        <w:gridCol w:w="551"/>
        <w:gridCol w:w="146"/>
        <w:gridCol w:w="146"/>
        <w:gridCol w:w="290"/>
        <w:gridCol w:w="581"/>
        <w:gridCol w:w="146"/>
        <w:gridCol w:w="146"/>
        <w:gridCol w:w="267"/>
        <w:gridCol w:w="438"/>
        <w:gridCol w:w="146"/>
        <w:gridCol w:w="146"/>
        <w:gridCol w:w="211"/>
        <w:gridCol w:w="57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8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Base commissions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Fees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supplemental commissions </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Profit-sharing contingent commissions </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Earned premium </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Investment income </w:t>
            </w:r>
            <w:r>
              <w:rPr>
                <w:rFonts w:ascii="Times New Roman" w:hAnsi="Times New Roman"/>
                <w:color w:val="000000"/>
                <w:sz w:val="13"/>
              </w:rPr>
              <w:t>(6)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income, net </w:t>
            </w:r>
            <w:r>
              <w:rPr>
                <w:rFonts w:ascii="Times New Roman" w:hAnsi="Times New Roman"/>
                <w:color w:val="000000"/>
                <w:sz w:val="13"/>
              </w:rPr>
              <w:t>(7)</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007" w:type="dxa"/>
        <w:jc w:val="left"/>
        <w:tblInd w:w="0" w:type="dxa"/>
        <w:tblLayout w:type="fixed"/>
        <w:tblCellMar>
          <w:top w:w="28" w:type="dxa"/>
          <w:left w:w="28" w:type="dxa"/>
          <w:bottom w:w="28" w:type="dxa"/>
          <w:right w:w="28" w:type="dxa"/>
        </w:tblCellMar>
      </w:tblPr>
      <w:tblGrid>
        <w:gridCol w:w="3466"/>
        <w:gridCol w:w="146"/>
        <w:gridCol w:w="211"/>
        <w:gridCol w:w="421"/>
        <w:gridCol w:w="146"/>
        <w:gridCol w:w="146"/>
        <w:gridCol w:w="275"/>
        <w:gridCol w:w="551"/>
        <w:gridCol w:w="146"/>
        <w:gridCol w:w="146"/>
        <w:gridCol w:w="290"/>
        <w:gridCol w:w="581"/>
        <w:gridCol w:w="146"/>
        <w:gridCol w:w="146"/>
        <w:gridCol w:w="267"/>
        <w:gridCol w:w="438"/>
        <w:gridCol w:w="166"/>
        <w:gridCol w:w="146"/>
        <w:gridCol w:w="211"/>
        <w:gridCol w:w="57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00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Base commissions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Fees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supplemental commissions </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Profit-sharing contingent commissions </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Earned premium </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Investment income </w:t>
            </w:r>
            <w:r>
              <w:rPr>
                <w:rFonts w:ascii="Times New Roman" w:hAnsi="Times New Roman"/>
                <w:color w:val="000000"/>
                <w:sz w:val="13"/>
              </w:rPr>
              <w:t>(6)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income, net </w:t>
            </w:r>
            <w:r>
              <w:rPr>
                <w:rFonts w:ascii="Times New Roman" w:hAnsi="Times New Roman"/>
                <w:color w:val="000000"/>
                <w:sz w:val="13"/>
              </w:rPr>
              <w:t>(7)</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57" w:type="dxa"/>
        <w:jc w:val="left"/>
        <w:tblInd w:w="0" w:type="dxa"/>
        <w:tblLayout w:type="fixed"/>
        <w:tblCellMar>
          <w:top w:w="28" w:type="dxa"/>
          <w:left w:w="28" w:type="dxa"/>
          <w:bottom w:w="28" w:type="dxa"/>
          <w:right w:w="28" w:type="dxa"/>
        </w:tblCellMar>
      </w:tblPr>
      <w:tblGrid>
        <w:gridCol w:w="3466"/>
        <w:gridCol w:w="146"/>
        <w:gridCol w:w="211"/>
        <w:gridCol w:w="571"/>
        <w:gridCol w:w="146"/>
        <w:gridCol w:w="146"/>
        <w:gridCol w:w="222"/>
        <w:gridCol w:w="604"/>
        <w:gridCol w:w="146"/>
        <w:gridCol w:w="146"/>
        <w:gridCol w:w="290"/>
        <w:gridCol w:w="581"/>
        <w:gridCol w:w="146"/>
        <w:gridCol w:w="146"/>
        <w:gridCol w:w="267"/>
        <w:gridCol w:w="438"/>
        <w:gridCol w:w="166"/>
        <w:gridCol w:w="146"/>
        <w:gridCol w:w="211"/>
        <w:gridCol w:w="57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5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Base commissions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Fees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supplemental commissions </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Profit-sharing contingent commissions </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Earned premium </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Investment income </w:t>
            </w:r>
            <w:r>
              <w:rPr>
                <w:rFonts w:ascii="Times New Roman" w:hAnsi="Times New Roman"/>
                <w:color w:val="000000"/>
                <w:sz w:val="13"/>
              </w:rPr>
              <w:t>(6)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income, net </w:t>
            </w:r>
            <w:r>
              <w:rPr>
                <w:rFonts w:ascii="Times New Roman" w:hAnsi="Times New Roman"/>
                <w:color w:val="000000"/>
                <w:sz w:val="13"/>
              </w:rPr>
              <w:t>(7)</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57" w:type="dxa"/>
        <w:jc w:val="left"/>
        <w:tblInd w:w="0" w:type="dxa"/>
        <w:tblLayout w:type="fixed"/>
        <w:tblCellMar>
          <w:top w:w="28" w:type="dxa"/>
          <w:left w:w="28" w:type="dxa"/>
          <w:bottom w:w="28" w:type="dxa"/>
          <w:right w:w="28" w:type="dxa"/>
        </w:tblCellMar>
      </w:tblPr>
      <w:tblGrid>
        <w:gridCol w:w="3466"/>
        <w:gridCol w:w="146"/>
        <w:gridCol w:w="211"/>
        <w:gridCol w:w="571"/>
        <w:gridCol w:w="146"/>
        <w:gridCol w:w="146"/>
        <w:gridCol w:w="275"/>
        <w:gridCol w:w="551"/>
        <w:gridCol w:w="146"/>
        <w:gridCol w:w="146"/>
        <w:gridCol w:w="290"/>
        <w:gridCol w:w="581"/>
        <w:gridCol w:w="146"/>
        <w:gridCol w:w="146"/>
        <w:gridCol w:w="267"/>
        <w:gridCol w:w="438"/>
        <w:gridCol w:w="166"/>
        <w:gridCol w:w="146"/>
        <w:gridCol w:w="211"/>
        <w:gridCol w:w="57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5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Base commissions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Fees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supplemental commissions </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Profit-sharing contingent commissions </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Earned premium </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Investment income </w:t>
            </w:r>
            <w:r>
              <w:rPr>
                <w:rFonts w:ascii="Times New Roman" w:hAnsi="Times New Roman"/>
                <w:color w:val="000000"/>
                <w:sz w:val="13"/>
              </w:rPr>
              <w:t>(6)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income, net </w:t>
            </w:r>
            <w:r>
              <w:rPr>
                <w:rFonts w:ascii="Times New Roman" w:hAnsi="Times New Roman"/>
                <w:color w:val="000000"/>
                <w:sz w:val="13"/>
              </w:rPr>
              <w:t>(7)</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 commissions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or sales and payroll levels) to determine what premium to charge the insured. Insurance companies establish these premium rates based upon many factors, including loss experience, risk profile and reinsurance rates paid by such insurance companies, none of which we control.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Fee revenues relate to fees for services other than securing coverage for our customers, fees negotiated in lieu of commissions, and F&amp;I products and services.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supplemental commissions include additional commissions over base commissions received from insurance carriers based on predetermined growth or production measures. This includes incentive commissions and guaranteed supplemental commissions.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Profit-sharing contingent commissions are based primarily on underwriting results, but may also reflect considerations for volume, growth and/or retention.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Earned premium relates to the premiums earned in the Captives.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income consists primarily of interest on cash and investments.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income consists primarily of other miscellaneous income.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20"/>
        </w:rPr>
      </w:pPr>
      <w:r>
        <w:rPr>
          <w:rFonts w:ascii="Times New Roman" w:hAnsi="Times New Roman"/>
          <w:color w:val="000000"/>
          <w:sz w:val="20"/>
        </w:rPr>
        <w:t>Fees within Other reflect the elimination of intercompany revenues.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the revenues disaggregated by geographic area where our services are being performed:</w:t>
      </w:r>
    </w:p>
    <w:tbl>
      <w:tblPr>
        <w:tblW w:w="7611" w:type="dxa"/>
        <w:jc w:val="left"/>
        <w:tblInd w:w="0" w:type="dxa"/>
        <w:tblLayout w:type="fixed"/>
        <w:tblCellMar>
          <w:top w:w="28" w:type="dxa"/>
          <w:left w:w="28" w:type="dxa"/>
          <w:bottom w:w="28" w:type="dxa"/>
          <w:right w:w="28" w:type="dxa"/>
        </w:tblCellMar>
      </w:tblPr>
      <w:tblGrid>
        <w:gridCol w:w="1696"/>
        <w:gridCol w:w="146"/>
        <w:gridCol w:w="300"/>
        <w:gridCol w:w="812"/>
        <w:gridCol w:w="207"/>
        <w:gridCol w:w="207"/>
        <w:gridCol w:w="300"/>
        <w:gridCol w:w="812"/>
        <w:gridCol w:w="146"/>
        <w:gridCol w:w="146"/>
        <w:gridCol w:w="290"/>
        <w:gridCol w:w="784"/>
        <w:gridCol w:w="200"/>
        <w:gridCol w:w="200"/>
        <w:gridCol w:w="290"/>
        <w:gridCol w:w="784"/>
        <w:gridCol w:w="2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center"/>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207"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200"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w:t>
            </w:r>
          </w:p>
        </w:tc>
        <w:tc>
          <w:tcPr>
            <w:tcW w:w="29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0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91" w:type="dxa"/>
            <w:tcBorders/>
            <w:shd w:fill="FFFFFF" w:val="clear"/>
            <w:vAlign w:val="center"/>
          </w:tcPr>
          <w:p>
            <w:pPr>
              <w:pStyle w:val="TableContents"/>
              <w:bidi w:val="0"/>
              <w:spacing w:before="0" w:after="283"/>
              <w:jc w:val="left"/>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Republic of Ireland</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07"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00"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9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0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91" w:type="dxa"/>
            <w:tcBorders/>
            <w:shd w:fill="FFFFFF" w:val="clear"/>
            <w:vAlign w:val="center"/>
          </w:tcPr>
          <w:p>
            <w:pPr>
              <w:pStyle w:val="TableContents"/>
              <w:bidi w:val="0"/>
              <w:spacing w:before="0" w:after="283"/>
              <w:jc w:val="left"/>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balances of contract assets and contract liabilities arising from contracts with customers as of September 30, 2024 and December 31, 2023 were as follows:</w:t>
      </w:r>
    </w:p>
    <w:p>
      <w:pPr>
        <w:pStyle w:val="TextBody"/>
        <w:bidi w:val="0"/>
        <w:jc w:val="left"/>
        <w:rPr/>
      </w:pPr>
      <w:r>
        <w:rPr/>
        <w:t> </w:t>
      </w:r>
    </w:p>
    <w:tbl>
      <w:tblPr>
        <w:tblW w:w="5325" w:type="dxa"/>
        <w:jc w:val="left"/>
        <w:tblInd w:w="0" w:type="dxa"/>
        <w:tblLayout w:type="fixed"/>
        <w:tblCellMar>
          <w:top w:w="28" w:type="dxa"/>
          <w:left w:w="28" w:type="dxa"/>
          <w:bottom w:w="28" w:type="dxa"/>
          <w:right w:w="28" w:type="dxa"/>
        </w:tblCellMar>
      </w:tblPr>
      <w:tblGrid>
        <w:gridCol w:w="1651"/>
        <w:gridCol w:w="146"/>
        <w:gridCol w:w="514"/>
        <w:gridCol w:w="1031"/>
        <w:gridCol w:w="146"/>
        <w:gridCol w:w="146"/>
        <w:gridCol w:w="499"/>
        <w:gridCol w:w="1001"/>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91" w:type="dxa"/>
            <w:tcBorders/>
            <w:shd w:fill="CFF0FC"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Unbilled receivables (contract assets) arise when the Company recognizes revenue for amounts which have not yet been billed in the Company's systems and are reflected in commissions, fees and other receivables in the Company's Condensed Consolidated Balance Sheets. The increase in contract assets over the balance as of December 31, 2023 is due to normal seasonality, growth in the business and from businesses acquired in the current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revenue (contract liabilities) relates to payments received in advance of performance under the contract before the transfer of a good or service to the customer. Deferred revenue is reflected within accrued expenses and other liabilities for those to be recognized in less than twelve months and in other liabilities for those to be recognized more than twelve months from the date presented in the Company's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deferred revenue consisted of $78 million as the current portion to be recognized within one year and $39 million in long-term to be recognized beyond one year. As of December 31, 2023, deferred revenue consisted of $78 million as the current portion to be recognized within one year and $35 million in long-term deferred revenue to be recognized beyond one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and 2023, the net amount of revenue recognized related to performance obligations satisfied in a previous period was $17 million and $26 million, consisting of additional variable consideration received on our incentive and profit-sharing contingent commissions.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Assets and Deferred Cost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Incremental cost to obtain - The Company defers certain costs to obtain customer contracts primarily as they relate to commission-based compensation plans in the Retail segment, in which the Company pays an incremental amount of compensation on new business. These incremental costs are deferred and amortized over a 15-year period. The cost to obtain balance within the other assets caption in the Company's Condensed Consolidated Balance Sheets was $114 million and $96 million as of September 30, 2024 and December 31, 2023, respectively. For the nine months ended September 30, 2024, the Company deferred $24 million of incremental cost to obtain customer contracts. The Company recorded an expense of $6 million associated with the incremental cost to obtain customer contracts for the nine months ended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to fulfill - The Company defers certain costs to fulfill contracts and recognizes these costs as the associated performance obligations are fulfilled. The cost to fulfill balance within the other current assets caption in the Company's Condensed Consolidated Balance Sheets as of September 30, 2024 was $120 million. The cost to fulfill balance as of December 31, 2023 was $123 million. For the nine months ended September 30, 2024, the Company had net expense of $7 million related to the release of previously deferred contract fulfillment costs associated with performance obligations that were satisfied in the period, net of current year deferrals for costs incurred that related to performance obligations yet to be fulfilled.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 Net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income per share is computed based on the weighted average number of common shares (including participating securities) issued and outstanding during the period. Diluted net income per share is computed based on the weighted average number of common shares issued and outstanding plus equivalent shares, assuming the issuance of all potentially issuable common shares. The dilutive effect of potentially issuable common shares is computed by application of the treasury stock method. The following is a reconciliation between basic and diluted weighted average shares outstanding: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12"/>
        <w:gridCol w:w="146"/>
        <w:gridCol w:w="303"/>
        <w:gridCol w:w="670"/>
        <w:gridCol w:w="238"/>
        <w:gridCol w:w="209"/>
        <w:gridCol w:w="303"/>
        <w:gridCol w:w="670"/>
        <w:gridCol w:w="166"/>
        <w:gridCol w:w="146"/>
        <w:gridCol w:w="295"/>
        <w:gridCol w:w="651"/>
        <w:gridCol w:w="232"/>
        <w:gridCol w:w="203"/>
        <w:gridCol w:w="295"/>
        <w:gridCol w:w="651"/>
        <w:gridCol w:w="415"/>
      </w:tblGrid>
      <w:tr>
        <w:trPr/>
        <w:tc>
          <w:tcPr>
            <w:tcW w:w="4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6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2"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38"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232"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46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attributable to unvested awarded performance stock</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shares</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 – basic</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38"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32"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46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unvested awarded performance stock included in weighted</w:t>
              <w:br/>
              <w:t>   average number of common shares outstanding – basic</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number of common shares outstanding for basic</w:t>
              <w:br/>
              <w:t>   net income per common share</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38"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32"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46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Dilutive effect of potentially issuable common shares</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CFF0FC" w:val="clear"/>
            <w:vAlign w:val="center"/>
          </w:tcPr>
          <w:p>
            <w:pPr>
              <w:pStyle w:val="TableContents"/>
              <w:bidi w:val="0"/>
              <w:spacing w:before="0" w:after="283"/>
              <w:jc w:val="left"/>
              <w:rPr/>
            </w:pPr>
            <w:r>
              <w:rPr/>
              <w:t> </w:t>
            </w:r>
          </w:p>
        </w:tc>
        <w:tc>
          <w:tcPr>
            <w:tcW w:w="973" w:type="dxa"/>
            <w:gridSpan w:val="2"/>
            <w:tcBorders/>
            <w:shd w:fill="CFF0FC" w:val="clear"/>
            <w:vAlign w:val="center"/>
          </w:tcPr>
          <w:p>
            <w:pPr>
              <w:pStyle w:val="TableContents"/>
              <w:bidi w:val="0"/>
              <w:spacing w:before="0" w:after="283"/>
              <w:jc w:val="right"/>
              <w:rPr/>
            </w:pPr>
            <w:r>
              <w:rPr/>
              <w:t> </w:t>
            </w:r>
          </w:p>
        </w:tc>
        <w:tc>
          <w:tcPr>
            <w:tcW w:w="238"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97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46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Business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Brown &amp; Brown acquired all of the stock of seven insurance intermediaries, purchased assets and assumed certain liabilities of eleven insurance intermediaries, and purchased four books of business (customer accounts) for a total of 22 acquisitions. Additionally, adjustments were recorded to the purchase price allocation of certain prior acquisitions completed within the last twelve months as permitted by Accounting Standards Codification Topic 805 — Business Combinations (“ASC 805”).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recorded purchase price for all acquisitions includes an estimation of the fair value of liabilities associated with any potential earn-out provisions. Subsequent changes in the fair value of earn-out obligations are recorded in the Condensed Consolidated Statements of Income when incurred. The fair value of earn-out obligations is based on the present value of the expected future payments to be made to the sellers of the acquired businesses in accordance with the provisions outlined in the respective purchase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acquisition date and the complexity of the underlying valuation work, certain amounts included in the Company’s Condensed Consolidated Financial Statements may be provisional and thus subject to further adjustments within the permitted measurement period, as defined in ASC 805.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2024, adjustments were made within the permitted measurement period for the following: an increase to total consideration of $9 million, an increase to fiduciary assets and fiduciary liabilities of $20 million, increase to non-controlling interest of $6 million, increase in amortizable intangible assets of $11 million, decrease to other net assets of $3 million and net increase in goodwill of $7 million. These measurement period adjustments have been reflected as current period adjustments in the nine months ended September 30, 2024 in accordance with the guidance in ASU 2015-16 “Business Combinations.” The measurement period adjustments had no effect on earnings or cash in the current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Subsequent to September 30, 2024, the Company completed one acquisition with total consideration in excess of $50 million. The maximum purchase price for the acquisition is $74 million. </w:t>
      </w:r>
    </w:p>
    <w:p>
      <w:pPr>
        <w:pStyle w:val="TextBody"/>
        <w:bidi w:val="0"/>
        <w:spacing w:before="120" w:after="283"/>
        <w:jc w:val="left"/>
        <w:rPr>
          <w:rFonts w:ascii="Times New Roman" w:hAnsi="Times New Roman"/>
          <w:sz w:val="20"/>
        </w:rPr>
      </w:pPr>
      <w:r>
        <w:rPr>
          <w:rFonts w:ascii="Times New Roman" w:hAnsi="Times New Roman"/>
          <w:color w:val="000000"/>
          <w:sz w:val="20"/>
        </w:rPr>
        <w:t>Certain disclosures have not been presented as the effect of the acquisitions were not material to the Company's financial results</w:t>
      </w:r>
      <w:r>
        <w:rPr>
          <w:rFonts w:ascii="Calibri;sans-serif" w:hAnsi="Calibri;sans-serif"/>
          <w:color w:val="000000"/>
          <w:sz w:val="22"/>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estimated fair values of the aggregate assets and liabilities acquired through the nine months ended September 30, 2024 as of the date of each acquisition and adjustments made during the measurement period of the prior year acquisitions.</w:t>
      </w:r>
    </w:p>
    <w:p>
      <w:pPr>
        <w:pStyle w:val="TextBody"/>
        <w:bidi w:val="0"/>
        <w:jc w:val="left"/>
        <w:rPr/>
      </w:pPr>
      <w:r>
        <w:rPr/>
        <w:t> </w:t>
      </w:r>
    </w:p>
    <w:tbl>
      <w:tblPr>
        <w:tblW w:w="4763" w:type="dxa"/>
        <w:jc w:val="left"/>
        <w:tblInd w:w="0" w:type="dxa"/>
        <w:tblLayout w:type="fixed"/>
        <w:tblCellMar>
          <w:top w:w="28" w:type="dxa"/>
          <w:left w:w="28" w:type="dxa"/>
          <w:bottom w:w="28" w:type="dxa"/>
          <w:right w:w="28" w:type="dxa"/>
        </w:tblCellMar>
      </w:tblPr>
      <w:tblGrid>
        <w:gridCol w:w="3501"/>
        <w:gridCol w:w="146"/>
        <w:gridCol w:w="235"/>
        <w:gridCol w:w="470"/>
        <w:gridCol w:w="411"/>
      </w:tblGrid>
      <w:tr>
        <w:trPr/>
        <w:tc>
          <w:tcPr>
            <w:tcW w:w="3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0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center"/>
              <w:rPr/>
            </w:pPr>
            <w:r>
              <w:rPr/>
              <w:t> </w:t>
            </w:r>
          </w:p>
        </w:tc>
        <w:tc>
          <w:tcPr>
            <w:tcW w:w="70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411" w:type="dxa"/>
            <w:tcBorders/>
            <w:shd w:fill="CFF0FC" w:val="clear"/>
            <w:vAlign w:val="center"/>
          </w:tcPr>
          <w:p>
            <w:pPr>
              <w:pStyle w:val="TableContents"/>
              <w:bidi w:val="0"/>
              <w:spacing w:before="0" w:after="283"/>
              <w:jc w:val="left"/>
              <w:rPr/>
            </w:pPr>
            <w:r>
              <w:rPr/>
              <w:t> </w:t>
            </w:r>
          </w:p>
        </w:tc>
      </w:tr>
      <w:tr>
        <w:trPr/>
        <w:tc>
          <w:tcPr>
            <w:tcW w:w="3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payable</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shd w:fill="FFFFFF" w:val="clear"/>
            <w:vAlign w:val="center"/>
          </w:tcPr>
          <w:p>
            <w:pPr>
              <w:pStyle w:val="TableContents"/>
              <w:bidi w:val="0"/>
              <w:spacing w:before="0" w:after="283"/>
              <w:jc w:val="left"/>
              <w:rPr/>
            </w:pPr>
            <w:r>
              <w:rPr/>
              <w:t> </w:t>
            </w:r>
          </w:p>
        </w:tc>
      </w:tr>
      <w:tr>
        <w:trPr/>
        <w:tc>
          <w:tcPr>
            <w:tcW w:w="3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Recorded earn-out payable</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consideration</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Maximum potential earn-out payable</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Allocation of purchase price:</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shd w:fill="FFFFFF" w:val="clear"/>
            <w:vAlign w:val="center"/>
          </w:tcPr>
          <w:p>
            <w:pPr>
              <w:pStyle w:val="TableContents"/>
              <w:bidi w:val="0"/>
              <w:spacing w:before="0" w:after="283"/>
              <w:jc w:val="left"/>
              <w:rPr>
                <w:sz w:val="4"/>
                <w:szCs w:val="4"/>
              </w:rPr>
            </w:pPr>
            <w:r>
              <w:rPr>
                <w:sz w:val="4"/>
                <w:szCs w:val="4"/>
              </w:rPr>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5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equivalents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Fiduciary cash</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Fiduciary receivables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Purchased customer accounts and other</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Fiduciary liabilities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 net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FFFFFF" w:val="clear"/>
            <w:vAlign w:val="center"/>
          </w:tcPr>
          <w:p>
            <w:pPr>
              <w:pStyle w:val="TableContents"/>
              <w:bidi w:val="0"/>
              <w:spacing w:before="0" w:after="283"/>
              <w:jc w:val="left"/>
              <w:rPr/>
            </w:pPr>
            <w:r>
              <w:rPr/>
              <w:t> </w:t>
            </w:r>
          </w:p>
        </w:tc>
        <w:tc>
          <w:tcPr>
            <w:tcW w:w="23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7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non-controlling interest</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4"/>
        </w:rPr>
      </w:pPr>
      <w:r>
        <w:rPr>
          <w:rFonts w:ascii="Times New Roman" w:hAnsi="Times New Roman"/>
          <w:color w:val="000000"/>
          <w:sz w:val="20"/>
        </w:rPr>
        <w:t>The other column represents a summarization of current year acquisitions with total consideration of less than $50</w:t>
      </w:r>
      <w:r>
        <w:rPr>
          <w:rFonts w:ascii="Times New Roman" w:hAnsi="Times New Roman"/>
          <w:color w:val="000000"/>
          <w:sz w:val="24"/>
        </w:rPr>
        <w:t xml:space="preserve"> </w:t>
      </w:r>
      <w:r>
        <w:rPr>
          <w:rFonts w:ascii="Times New Roman" w:hAnsi="Times New Roman"/>
          <w:color w:val="000000"/>
          <w:sz w:val="20"/>
        </w:rPr>
        <w:t>million</w:t>
      </w:r>
      <w:r>
        <w:rPr>
          <w:rFonts w:ascii="Times New Roman" w:hAnsi="Times New Roman"/>
          <w:color w:val="000000"/>
          <w:sz w:val="24"/>
        </w:rPr>
        <w:t xml:space="preserve"> </w:t>
      </w:r>
      <w:r>
        <w:rPr>
          <w:rFonts w:ascii="Times New Roman" w:hAnsi="Times New Roman"/>
          <w:color w:val="000000"/>
          <w:sz w:val="20"/>
        </w:rPr>
        <w:t>per acquisition and adjustments from prior year acquisitions that were made within the permitted measurement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useful life of purchased customer accounts is 15 years.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Acquisition Earn-Out Payables</w:t>
      </w:r>
    </w:p>
    <w:p>
      <w:pPr>
        <w:pStyle w:val="TextBody"/>
        <w:bidi w:val="0"/>
        <w:jc w:val="left"/>
        <w:rPr>
          <w:rFonts w:ascii="Times New Roman" w:hAnsi="Times New Roman"/>
          <w:sz w:val="20"/>
        </w:rPr>
      </w:pPr>
      <w:r>
        <w:rPr>
          <w:rFonts w:ascii="Times New Roman" w:hAnsi="Times New Roman"/>
          <w:color w:val="000000"/>
          <w:sz w:val="20"/>
        </w:rPr>
        <w:t xml:space="preserve">As of September 30, 2024 and 2023, the fair values of the estimated acquisition earn-out payables were re-evaluated and measured at fair value on a recurring basis using unobservable inputs (Level 3) as defined in ASC 820 - </w:t>
      </w:r>
      <w:r>
        <w:rPr>
          <w:rFonts w:ascii="Times New Roman" w:hAnsi="Times New Roman"/>
          <w:i/>
          <w:color w:val="000000"/>
          <w:sz w:val="20"/>
        </w:rPr>
        <w:t>Fair Value Measurement</w:t>
      </w:r>
      <w:r>
        <w:rPr>
          <w:rFonts w:ascii="Times New Roman" w:hAnsi="Times New Roman"/>
          <w:color w:val="000000"/>
          <w:sz w:val="20"/>
        </w:rPr>
        <w:t>. The resulting additions, payments, and net changes, as well as the interest expense accretion on the estimated acquisition earn-out payables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24"/>
        <w:gridCol w:w="146"/>
        <w:gridCol w:w="313"/>
        <w:gridCol w:w="625"/>
        <w:gridCol w:w="246"/>
        <w:gridCol w:w="216"/>
        <w:gridCol w:w="313"/>
        <w:gridCol w:w="625"/>
        <w:gridCol w:w="166"/>
        <w:gridCol w:w="146"/>
        <w:gridCol w:w="295"/>
        <w:gridCol w:w="674"/>
        <w:gridCol w:w="232"/>
        <w:gridCol w:w="204"/>
        <w:gridCol w:w="295"/>
        <w:gridCol w:w="589"/>
        <w:gridCol w:w="596"/>
      </w:tblGrid>
      <w:tr>
        <w:trPr/>
        <w:tc>
          <w:tcPr>
            <w:tcW w:w="4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5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4"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the beginning of the period</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3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596" w:type="dxa"/>
            <w:tcBorders/>
            <w:shd w:fill="CFF0FC" w:val="clear"/>
            <w:vAlign w:val="center"/>
          </w:tcPr>
          <w:p>
            <w:pPr>
              <w:pStyle w:val="TableContents"/>
              <w:bidi w:val="0"/>
              <w:spacing w:before="0" w:after="283"/>
              <w:ind w:left="0" w:right="0" w:firstLine="400"/>
              <w:jc w:val="left"/>
              <w:rPr/>
            </w:pPr>
            <w:r>
              <w:rPr/>
              <w:t> </w:t>
            </w:r>
          </w:p>
        </w:tc>
      </w:tr>
      <w:tr>
        <w:trPr/>
        <w:tc>
          <w:tcPr>
            <w:tcW w:w="452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Additions to estimated acquisition earn-out payables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3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96" w:type="dxa"/>
            <w:tcBorders/>
            <w:shd w:fill="FFFFFF" w:val="clear"/>
            <w:vAlign w:val="center"/>
          </w:tcPr>
          <w:p>
            <w:pPr>
              <w:pStyle w:val="TableContents"/>
              <w:bidi w:val="0"/>
              <w:spacing w:before="0" w:after="283"/>
              <w:ind w:left="0" w:right="0" w:firstLine="400"/>
              <w:jc w:val="left"/>
              <w:rPr/>
            </w:pPr>
            <w:r>
              <w:rPr/>
              <w:t> </w:t>
            </w:r>
          </w:p>
        </w:tc>
      </w:tr>
      <w:tr>
        <w:trPr/>
        <w:tc>
          <w:tcPr>
            <w:tcW w:w="452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Payments for estimated acquisition earn-out payables</w:t>
            </w:r>
          </w:p>
        </w:tc>
        <w:tc>
          <w:tcPr>
            <w:tcW w:w="146" w:type="dxa"/>
            <w:tcBorders/>
            <w:shd w:fill="CFF0FC" w:val="cle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3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596" w:type="dxa"/>
            <w:tcBorders/>
            <w:shd w:fill="FFFFFF" w:val="clear"/>
            <w:vAlign w:val="center"/>
          </w:tcPr>
          <w:p>
            <w:pPr>
              <w:pStyle w:val="TableContents"/>
              <w:bidi w:val="0"/>
              <w:spacing w:before="0" w:after="283"/>
              <w:jc w:val="left"/>
              <w:rPr/>
            </w:pPr>
            <w:r>
              <w:rPr/>
              <w:t> </w:t>
            </w:r>
          </w:p>
        </w:tc>
      </w:tr>
      <w:tr>
        <w:trPr/>
        <w:tc>
          <w:tcPr>
            <w:tcW w:w="45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earnings from estimated acquisition earn-out payables:</w:t>
            </w:r>
          </w:p>
        </w:tc>
        <w:tc>
          <w:tcPr>
            <w:tcW w:w="146" w:type="dxa"/>
            <w:tcBorders/>
            <w:shd w:fill="CFF0FC" w:val="clear"/>
            <w:vAlign w:val="center"/>
          </w:tcPr>
          <w:p>
            <w:pPr>
              <w:pStyle w:val="TableContents"/>
              <w:bidi w:val="0"/>
              <w:spacing w:before="0" w:after="283"/>
              <w:jc w:val="left"/>
              <w:rPr/>
            </w:pPr>
            <w:r>
              <w:rPr/>
              <w:t> </w:t>
            </w:r>
          </w:p>
        </w:tc>
        <w:tc>
          <w:tcPr>
            <w:tcW w:w="938"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93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9" w:type="dxa"/>
            <w:gridSpan w:val="2"/>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884" w:type="dxa"/>
            <w:gridSpan w:val="2"/>
            <w:tcBorders/>
            <w:shd w:fill="CFF0FC" w:val="clear"/>
            <w:vAlign w:val="center"/>
          </w:tcPr>
          <w:p>
            <w:pPr>
              <w:pStyle w:val="TableContents"/>
              <w:bidi w:val="0"/>
              <w:spacing w:before="0" w:after="283"/>
              <w:jc w:val="right"/>
              <w:rPr/>
            </w:pPr>
            <w:r>
              <w:rPr/>
              <w:t> </w:t>
            </w:r>
          </w:p>
        </w:tc>
        <w:tc>
          <w:tcPr>
            <w:tcW w:w="596" w:type="dxa"/>
            <w:tcBorders/>
            <w:shd w:fill="CFF0FC" w:val="clear"/>
            <w:vAlign w:val="center"/>
          </w:tcPr>
          <w:p>
            <w:pPr>
              <w:pStyle w:val="TableContents"/>
              <w:bidi w:val="0"/>
              <w:spacing w:before="0" w:after="283"/>
              <w:ind w:left="0" w:right="0" w:firstLine="400"/>
              <w:jc w:val="right"/>
              <w:rPr/>
            </w:pPr>
            <w:r>
              <w:rPr/>
              <w:t> </w:t>
            </w:r>
          </w:p>
        </w:tc>
      </w:tr>
      <w:tr>
        <w:trPr/>
        <w:tc>
          <w:tcPr>
            <w:tcW w:w="452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fair value on estimated acquisition earn-out payables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96" w:type="dxa"/>
            <w:tcBorders/>
            <w:shd w:fill="FFFFFF" w:val="clear"/>
            <w:vAlign w:val="center"/>
          </w:tcPr>
          <w:p>
            <w:pPr>
              <w:pStyle w:val="TableContents"/>
              <w:bidi w:val="0"/>
              <w:spacing w:before="0" w:after="283"/>
              <w:ind w:left="0" w:right="0" w:firstLine="400"/>
              <w:jc w:val="left"/>
              <w:rPr/>
            </w:pPr>
            <w:r>
              <w:rPr/>
              <w:t> </w:t>
            </w:r>
          </w:p>
        </w:tc>
      </w:tr>
      <w:tr>
        <w:trPr/>
        <w:tc>
          <w:tcPr>
            <w:tcW w:w="452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expense accretion</w:t>
            </w:r>
          </w:p>
        </w:tc>
        <w:tc>
          <w:tcPr>
            <w:tcW w:w="146" w:type="dxa"/>
            <w:tcBorders/>
            <w:shd w:fill="CFF0FC" w:val="cle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2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change in earnings from estimated acquisition</w:t>
              <w:br/>
              <w:t>   earn-out payables</w:t>
            </w:r>
          </w:p>
        </w:tc>
        <w:tc>
          <w:tcPr>
            <w:tcW w:w="146" w:type="dxa"/>
            <w:tcBorders/>
            <w:shd w:fill="FFFFFF" w:val="cle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 during the year</w:t>
            </w:r>
          </w:p>
        </w:tc>
        <w:tc>
          <w:tcPr>
            <w:tcW w:w="146" w:type="dxa"/>
            <w:tcBorders/>
            <w:shd w:fill="CFF0FC" w:val="cle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w:t>
            </w:r>
          </w:p>
        </w:tc>
        <w:tc>
          <w:tcPr>
            <w:tcW w:w="146" w:type="dxa"/>
            <w:tcBorders/>
            <w:shd w:fill="FFFFFF" w:val="cle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Of the $137 million of estimated acquisition earn-out payables as of September 30, 2024, $73 million was recorded as accounts payable and $64 million was recorded as other non-current liabilities. As of September 30, 2024, the maximum future acquisition contingency payments was $460 million. Six of the estimated acquisition earn-out payables include provisions with no maximum potential earn-out amount. The amount recorded for these acquisitions as of September 30, 2024 is $4 million. The Company deems a significant increase to this amount to be unlikely.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changes in the carrying value of goodwill by reportable segment for the nine months ended September 30, 2024 are as follows: </w:t>
      </w:r>
    </w:p>
    <w:p>
      <w:pPr>
        <w:pStyle w:val="TextBody"/>
        <w:bidi w:val="0"/>
        <w:jc w:val="left"/>
        <w:rPr/>
      </w:pPr>
      <w:r>
        <w:rPr/>
        <w:t> </w:t>
      </w:r>
    </w:p>
    <w:tbl>
      <w:tblPr>
        <w:tblW w:w="9984" w:type="dxa"/>
        <w:jc w:val="left"/>
        <w:tblInd w:w="0" w:type="dxa"/>
        <w:tblLayout w:type="fixed"/>
        <w:tblCellMar>
          <w:top w:w="28" w:type="dxa"/>
          <w:left w:w="28" w:type="dxa"/>
          <w:bottom w:w="28" w:type="dxa"/>
          <w:right w:w="28" w:type="dxa"/>
        </w:tblCellMar>
      </w:tblPr>
      <w:tblGrid>
        <w:gridCol w:w="4711"/>
        <w:gridCol w:w="146"/>
        <w:gridCol w:w="211"/>
        <w:gridCol w:w="571"/>
        <w:gridCol w:w="166"/>
        <w:gridCol w:w="146"/>
        <w:gridCol w:w="222"/>
        <w:gridCol w:w="604"/>
        <w:gridCol w:w="146"/>
        <w:gridCol w:w="146"/>
        <w:gridCol w:w="549"/>
        <w:gridCol w:w="1101"/>
        <w:gridCol w:w="146"/>
        <w:gridCol w:w="146"/>
        <w:gridCol w:w="211"/>
        <w:gridCol w:w="571"/>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Retail </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 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w:t>
            </w:r>
          </w:p>
        </w:tc>
        <w:tc>
          <w:tcPr>
            <w:tcW w:w="191" w:type="dxa"/>
            <w:tcBorders/>
            <w:shd w:fill="CFF0FC"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of acquired businesses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4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91" w:type="dxa"/>
            <w:tcBorders/>
            <w:shd w:fill="FFFFFF" w:val="cle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Goodwill adjustment during measurement period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49"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CFF0FC"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 during the year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Provisional estimates of fair value of acquired assets and liabilities are established at the time of each acquisition and are subsequently reviewed and finalized within the first year of operations subsequent to the acquisition date to determine the necessity for adjustments to goodwill.</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December 31, 2023 Retail segment balance includes $127 million of goodwill reclassified from the former Services segment as a result of our segment realignment.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Amortizable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Amortizable intangible assets consisted of the following:</w:t>
      </w:r>
    </w:p>
    <w:p>
      <w:pPr>
        <w:pStyle w:val="TextBody"/>
        <w:bidi w:val="0"/>
        <w:jc w:val="left"/>
        <w:rPr/>
      </w:pPr>
      <w:r>
        <w:rPr/>
        <w:t> </w:t>
      </w:r>
    </w:p>
    <w:tbl>
      <w:tblPr>
        <w:tblW w:w="10979" w:type="dxa"/>
        <w:jc w:val="left"/>
        <w:tblInd w:w="0" w:type="dxa"/>
        <w:tblLayout w:type="fixed"/>
        <w:tblCellMar>
          <w:top w:w="28" w:type="dxa"/>
          <w:left w:w="28" w:type="dxa"/>
          <w:bottom w:w="28" w:type="dxa"/>
          <w:right w:w="28" w:type="dxa"/>
        </w:tblCellMar>
      </w:tblPr>
      <w:tblGrid>
        <w:gridCol w:w="1096"/>
        <w:gridCol w:w="146"/>
        <w:gridCol w:w="211"/>
        <w:gridCol w:w="571"/>
        <w:gridCol w:w="146"/>
        <w:gridCol w:w="146"/>
        <w:gridCol w:w="282"/>
        <w:gridCol w:w="844"/>
        <w:gridCol w:w="166"/>
        <w:gridCol w:w="146"/>
        <w:gridCol w:w="211"/>
        <w:gridCol w:w="571"/>
        <w:gridCol w:w="146"/>
        <w:gridCol w:w="146"/>
        <w:gridCol w:w="265"/>
        <w:gridCol w:w="576"/>
        <w:gridCol w:w="146"/>
        <w:gridCol w:w="146"/>
        <w:gridCol w:w="211"/>
        <w:gridCol w:w="571"/>
        <w:gridCol w:w="146"/>
        <w:gridCol w:w="146"/>
        <w:gridCol w:w="282"/>
        <w:gridCol w:w="844"/>
        <w:gridCol w:w="166"/>
        <w:gridCol w:w="146"/>
        <w:gridCol w:w="211"/>
        <w:gridCol w:w="571"/>
        <w:gridCol w:w="146"/>
        <w:gridCol w:w="146"/>
        <w:gridCol w:w="265"/>
        <w:gridCol w:w="576"/>
        <w:gridCol w:w="5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w:t>
              <w:br/>
              <w:t>average</w:t>
              <w:br/>
              <w:t>life</w:t>
              <w:br/>
              <w:t xml:space="preserve">(years)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w:t>
              <w:br/>
              <w:t>average</w:t>
              <w:br/>
              <w:t>life</w:t>
              <w:br/>
              <w:t xml:space="preserve">(years) </w:t>
            </w:r>
            <w:r>
              <w:rPr>
                <w:rFonts w:ascii="Times New Roman" w:hAnsi="Times New Roman"/>
                <w:b/>
                <w:color w:val="000000"/>
                <w:sz w:val="12"/>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Purchased customer accounts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91" w:type="dxa"/>
            <w:tcBorders/>
            <w:shd w:fill="CFF0FC"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 during the year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10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Weighted average life calculated as of the date of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for intangible assets for the years ending December 31, 2024, 2025, 2026, 2027 and 2028 is estimated to be $173 million, $170 million, $164 million, $151 million, and $145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 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debt consisted of the following: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50"/>
        <w:gridCol w:w="146"/>
        <w:gridCol w:w="317"/>
        <w:gridCol w:w="858"/>
        <w:gridCol w:w="166"/>
        <w:gridCol w:w="146"/>
        <w:gridCol w:w="303"/>
        <w:gridCol w:w="826"/>
        <w:gridCol w:w="993"/>
      </w:tblGrid>
      <w:tr>
        <w:trPr/>
        <w:tc>
          <w:tcPr>
            <w:tcW w:w="6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6450"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117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ind w:left="0" w:right="0" w:firstLine="200"/>
              <w:jc w:val="right"/>
              <w:rPr/>
            </w:pPr>
            <w:r>
              <w:rPr/>
              <w:t> </w:t>
            </w:r>
          </w:p>
        </w:tc>
      </w:tr>
      <w:tr>
        <w:trPr/>
        <w:tc>
          <w:tcPr>
            <w:tcW w:w="64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5-year term loan facility expires 2026</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993" w:type="dxa"/>
            <w:tcBorders/>
            <w:shd w:fill="FFFFFF" w:val="clear"/>
            <w:vAlign w:val="center"/>
          </w:tcPr>
          <w:p>
            <w:pPr>
              <w:pStyle w:val="TableContents"/>
              <w:bidi w:val="0"/>
              <w:spacing w:before="0" w:after="283"/>
              <w:ind w:left="0" w:right="0" w:firstLine="200"/>
              <w:jc w:val="left"/>
              <w:rPr/>
            </w:pPr>
            <w:r>
              <w:rPr/>
              <w:t> </w:t>
            </w:r>
          </w:p>
        </w:tc>
      </w:tr>
      <w:tr>
        <w:trPr/>
        <w:tc>
          <w:tcPr>
            <w:tcW w:w="64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3-year term loan facility expires 2025</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993" w:type="dxa"/>
            <w:tcBorders/>
            <w:shd w:fill="CFF0FC" w:val="clear"/>
            <w:vAlign w:val="center"/>
          </w:tcPr>
          <w:p>
            <w:pPr>
              <w:pStyle w:val="TableContents"/>
              <w:bidi w:val="0"/>
              <w:spacing w:before="0" w:after="283"/>
              <w:ind w:left="0" w:right="0" w:firstLine="200"/>
              <w:jc w:val="left"/>
              <w:rPr/>
            </w:pPr>
            <w:r>
              <w:rPr/>
              <w:t> </w:t>
            </w:r>
          </w:p>
        </w:tc>
      </w:tr>
      <w:tr>
        <w:trPr/>
        <w:tc>
          <w:tcPr>
            <w:tcW w:w="64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5-year term loan facility expires 2027</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993" w:type="dxa"/>
            <w:tcBorders/>
            <w:shd w:fill="FFFFFF" w:val="clear"/>
            <w:vAlign w:val="center"/>
          </w:tcPr>
          <w:p>
            <w:pPr>
              <w:pStyle w:val="TableContents"/>
              <w:bidi w:val="0"/>
              <w:spacing w:before="0" w:after="283"/>
              <w:ind w:left="0" w:right="0" w:firstLine="200"/>
              <w:jc w:val="left"/>
              <w:rPr/>
            </w:pPr>
            <w:r>
              <w:rPr/>
              <w:t> </w:t>
            </w:r>
          </w:p>
        </w:tc>
      </w:tr>
      <w:tr>
        <w:trPr/>
        <w:tc>
          <w:tcPr>
            <w:tcW w:w="64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4.200% senior notes, semi-annual interest payments, balloon due 2024</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portion of long-term debt</w:t>
            </w:r>
          </w:p>
        </w:tc>
        <w:tc>
          <w:tcPr>
            <w:tcW w:w="146" w:type="dxa"/>
            <w:tcBorders/>
            <w:shd w:fill="FFFFFF" w:val="cle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117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jc w:val="right"/>
              <w:rPr/>
            </w:pPr>
            <w:r>
              <w:rPr/>
              <w:t> </w:t>
            </w:r>
          </w:p>
        </w:tc>
      </w:tr>
      <w:tr>
        <w:trPr/>
        <w:tc>
          <w:tcPr>
            <w:tcW w:w="64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agreements:</w:t>
            </w:r>
          </w:p>
        </w:tc>
        <w:tc>
          <w:tcPr>
            <w:tcW w:w="146" w:type="dxa"/>
            <w:tcBorders/>
            <w:shd w:fill="FFFFFF" w:val="clear"/>
            <w:vAlign w:val="center"/>
          </w:tcPr>
          <w:p>
            <w:pPr>
              <w:pStyle w:val="TableContents"/>
              <w:bidi w:val="0"/>
              <w:spacing w:before="0" w:after="283"/>
              <w:jc w:val="left"/>
              <w:rPr/>
            </w:pPr>
            <w:r>
              <w:rPr/>
              <w:t> </w:t>
            </w:r>
          </w:p>
        </w:tc>
        <w:tc>
          <w:tcPr>
            <w:tcW w:w="117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ind w:left="0" w:right="0" w:firstLine="200"/>
              <w:jc w:val="right"/>
              <w:rPr/>
            </w:pPr>
            <w:r>
              <w:rPr/>
              <w:t> </w:t>
            </w:r>
          </w:p>
        </w:tc>
      </w:tr>
      <w:tr>
        <w:trPr/>
        <w:tc>
          <w:tcPr>
            <w:tcW w:w="64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4.500% senior notes, semi-annual interest payments, net of the unamortized discount,</w:t>
              <w:br/>
              <w:t>   balloon due 2029</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993" w:type="dxa"/>
            <w:tcBorders/>
            <w:shd w:fill="CFF0FC" w:val="clear"/>
            <w:vAlign w:val="center"/>
          </w:tcPr>
          <w:p>
            <w:pPr>
              <w:pStyle w:val="TableContents"/>
              <w:bidi w:val="0"/>
              <w:spacing w:before="0" w:after="283"/>
              <w:ind w:left="0" w:right="0" w:firstLine="200"/>
              <w:jc w:val="left"/>
              <w:rPr/>
            </w:pPr>
            <w:r>
              <w:rPr/>
              <w:t> </w:t>
            </w:r>
          </w:p>
        </w:tc>
      </w:tr>
      <w:tr>
        <w:trPr/>
        <w:tc>
          <w:tcPr>
            <w:tcW w:w="64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2.375% senior notes, semi-annual interest payments, net of the unamortized discount,</w:t>
              <w:br/>
              <w:t>   balloon due 2031</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993" w:type="dxa"/>
            <w:tcBorders/>
            <w:shd w:fill="FFFFFF" w:val="clear"/>
            <w:vAlign w:val="center"/>
          </w:tcPr>
          <w:p>
            <w:pPr>
              <w:pStyle w:val="TableContents"/>
              <w:bidi w:val="0"/>
              <w:spacing w:before="0" w:after="283"/>
              <w:ind w:left="0" w:right="0" w:firstLine="200"/>
              <w:jc w:val="left"/>
              <w:rPr/>
            </w:pPr>
            <w:r>
              <w:rPr/>
              <w:t> </w:t>
            </w:r>
          </w:p>
        </w:tc>
      </w:tr>
      <w:tr>
        <w:trPr/>
        <w:tc>
          <w:tcPr>
            <w:tcW w:w="64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4.200% senior notes, semi-annual interest payments, net of the unamortized discount,</w:t>
              <w:br/>
              <w:t>   balloon due 2032</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993" w:type="dxa"/>
            <w:tcBorders/>
            <w:shd w:fill="CFF0FC" w:val="clear"/>
            <w:vAlign w:val="center"/>
          </w:tcPr>
          <w:p>
            <w:pPr>
              <w:pStyle w:val="TableContents"/>
              <w:bidi w:val="0"/>
              <w:spacing w:before="0" w:after="283"/>
              <w:ind w:left="0" w:right="0" w:firstLine="200"/>
              <w:jc w:val="left"/>
              <w:rPr/>
            </w:pPr>
            <w:r>
              <w:rPr/>
              <w:t> </w:t>
            </w:r>
          </w:p>
        </w:tc>
      </w:tr>
      <w:tr>
        <w:trPr/>
        <w:tc>
          <w:tcPr>
            <w:tcW w:w="64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5.650% senior notes, semi-annual interest payments, net of the unamortized discount,</w:t>
              <w:br/>
              <w:t>   balloon due 2034</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993" w:type="dxa"/>
            <w:tcBorders/>
            <w:shd w:fill="FFFFFF" w:val="clear"/>
            <w:vAlign w:val="center"/>
          </w:tcPr>
          <w:p>
            <w:pPr>
              <w:pStyle w:val="TableContents"/>
              <w:bidi w:val="0"/>
              <w:spacing w:before="0" w:after="283"/>
              <w:ind w:left="0" w:right="0" w:firstLine="200"/>
              <w:jc w:val="left"/>
              <w:rPr/>
            </w:pPr>
            <w:r>
              <w:rPr/>
              <w:t> </w:t>
            </w:r>
          </w:p>
        </w:tc>
      </w:tr>
      <w:tr>
        <w:trPr/>
        <w:tc>
          <w:tcPr>
            <w:tcW w:w="64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4.950% senior notes, semi-annual interest payments, net of the unamortized discount,</w:t>
              <w:br/>
              <w:t>   balloon due 2052</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notes</w:t>
            </w:r>
          </w:p>
        </w:tc>
        <w:tc>
          <w:tcPr>
            <w:tcW w:w="146" w:type="dxa"/>
            <w:tcBorders/>
            <w:shd w:fill="FFFFFF" w:val="cle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agreements:</w:t>
            </w:r>
          </w:p>
        </w:tc>
        <w:tc>
          <w:tcPr>
            <w:tcW w:w="146" w:type="dxa"/>
            <w:tcBorders/>
            <w:shd w:fill="CFF0FC" w:val="clear"/>
            <w:vAlign w:val="center"/>
          </w:tcPr>
          <w:p>
            <w:pPr>
              <w:pStyle w:val="TableContents"/>
              <w:bidi w:val="0"/>
              <w:spacing w:before="0" w:after="283"/>
              <w:jc w:val="left"/>
              <w:rPr/>
            </w:pPr>
            <w:r>
              <w:rPr/>
              <w:t> </w:t>
            </w:r>
          </w:p>
        </w:tc>
        <w:tc>
          <w:tcPr>
            <w:tcW w:w="117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ind w:left="0" w:right="0" w:firstLine="200"/>
              <w:jc w:val="right"/>
              <w:rPr/>
            </w:pPr>
            <w:r>
              <w:rPr/>
              <w:t> </w:t>
            </w:r>
          </w:p>
        </w:tc>
      </w:tr>
      <w:tr>
        <w:trPr/>
        <w:tc>
          <w:tcPr>
            <w:tcW w:w="64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5-year term loan facility, periodic interest and principal payments, SOFR plus up to</w:t>
              <w:br/>
              <w:t>   1.750%, expires October 27, 2026</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993" w:type="dxa"/>
            <w:tcBorders/>
            <w:shd w:fill="FFFFFF" w:val="clear"/>
            <w:vAlign w:val="center"/>
          </w:tcPr>
          <w:p>
            <w:pPr>
              <w:pStyle w:val="TableContents"/>
              <w:bidi w:val="0"/>
              <w:spacing w:before="0" w:after="283"/>
              <w:ind w:left="0" w:right="0" w:firstLine="200"/>
              <w:jc w:val="left"/>
              <w:rPr/>
            </w:pPr>
            <w:r>
              <w:rPr/>
              <w:t> </w:t>
            </w:r>
          </w:p>
        </w:tc>
      </w:tr>
      <w:tr>
        <w:trPr/>
        <w:tc>
          <w:tcPr>
            <w:tcW w:w="64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5-year revolving loan facility, periodic interest payments, SOFR plus up to 1.525%, plus commitment fees up to 0.225%, expires October 27, 2026</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993" w:type="dxa"/>
            <w:tcBorders/>
            <w:shd w:fill="CFF0FC" w:val="clear"/>
            <w:vAlign w:val="center"/>
          </w:tcPr>
          <w:p>
            <w:pPr>
              <w:pStyle w:val="TableContents"/>
              <w:bidi w:val="0"/>
              <w:spacing w:before="0" w:after="283"/>
              <w:ind w:left="0" w:right="0" w:firstLine="200"/>
              <w:jc w:val="left"/>
              <w:rPr/>
            </w:pPr>
            <w:r>
              <w:rPr/>
              <w:t> </w:t>
            </w:r>
          </w:p>
        </w:tc>
      </w:tr>
      <w:tr>
        <w:trPr/>
        <w:tc>
          <w:tcPr>
            <w:tcW w:w="64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3-year term loan facility, periodic interest payments, SOFR plus up to 1.625%, expires March 31, 2025</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993" w:type="dxa"/>
            <w:tcBorders/>
            <w:shd w:fill="FFFFFF" w:val="clear"/>
            <w:vAlign w:val="center"/>
          </w:tcPr>
          <w:p>
            <w:pPr>
              <w:pStyle w:val="TableContents"/>
              <w:bidi w:val="0"/>
              <w:spacing w:before="0" w:after="283"/>
              <w:ind w:left="0" w:right="0" w:firstLine="200"/>
              <w:jc w:val="left"/>
              <w:rPr/>
            </w:pPr>
            <w:r>
              <w:rPr/>
              <w:t> </w:t>
            </w:r>
          </w:p>
        </w:tc>
      </w:tr>
      <w:tr>
        <w:trPr/>
        <w:tc>
          <w:tcPr>
            <w:tcW w:w="64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5-year term loan facility, periodic interest and principal payments, SOFR plus up to 1.750%, expires March 31, 2027</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credit agreements</w:t>
            </w:r>
          </w:p>
        </w:tc>
        <w:tc>
          <w:tcPr>
            <w:tcW w:w="146" w:type="dxa"/>
            <w:tcBorders/>
            <w:shd w:fill="FFFFFF" w:val="cle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50"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Debt issuance costs (contra)</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50"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long-term debt, less unamortized discount and debt issuance costs</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993" w:type="dxa"/>
            <w:tcBorders/>
            <w:shd w:fill="FFFFFF" w:val="clear"/>
            <w:vAlign w:val="center"/>
          </w:tcPr>
          <w:p>
            <w:pPr>
              <w:pStyle w:val="TableContents"/>
              <w:bidi w:val="0"/>
              <w:spacing w:before="0" w:after="283"/>
              <w:ind w:left="0" w:right="0" w:firstLine="600"/>
              <w:jc w:val="left"/>
              <w:rPr/>
            </w:pPr>
            <w:r>
              <w:rPr/>
              <w:t> </w:t>
            </w:r>
          </w:p>
        </w:tc>
      </w:tr>
      <w:tr>
        <w:trPr/>
        <w:tc>
          <w:tcPr>
            <w:tcW w:w="6450"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50"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FFFFFF" w:val="cle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 xml:space="preserve">Note agreements: </w:t>
      </w:r>
      <w:r>
        <w:rPr>
          <w:rFonts w:ascii="Times New Roman" w:hAnsi="Times New Roman"/>
          <w:color w:val="000000"/>
          <w:sz w:val="20"/>
        </w:rPr>
        <w:t>On June 11, 2024, the Company completed the issuance of $600 million aggregate principal amount of 5.650% Senior Notes due 2034 (the “2034 Senior Notes”). The net proceeds to the Company from the issuance of the 2034 Senior Notes, after deducting underwriting discounts and estimated offering expenses, were approximately $593 million. The 2034 Senior Notes were given investment grade ratings of BBB- stable outlook and Baa3 positive outlook. The 2034 Senior Notes will mature in June 2034. Interest on the 2034 Senior Notes will be payable semi-annually in arrears. The 2034 Senior Notes are senior unsecured obligations of the Company and will rank equal in right of payment to all of the Company’s existing and future senior unsecured indebtedness. The Company may redeem the 2034 Senior Notes in whole or in part at any time and from time to time, at the “make whole” redemption prices specified in the prospectus supplement for the 2034 Senior Notes being redeemed, plus accrued and unpaid interest thereon. In September 2024, the Company used a portion of the proceeds from the 2034 Senior Notes to repay $500 million of the 4.200% senior notes due September 2024. In June 2024, the Company also used $100 million of the proceeds to repay a portion of an outstanding term loan balance. As of September 30, 2024 there was a total outstanding debt balance of $600 million exclusive of the associated discount balance on the 2034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also maintains notes from other issuances aggregating to a total outstanding debt balance of $2,250 million exclusive of the associated discount balance as of September 30, 2024, and $2,750 million exclusive of the associated discount balance as of December 31, 2023. </w:t>
      </w:r>
    </w:p>
    <w:p>
      <w:pPr>
        <w:pStyle w:val="TextBody"/>
        <w:bidi w:val="0"/>
        <w:spacing w:before="120" w:after="283"/>
        <w:jc w:val="left"/>
        <w:rPr>
          <w:rFonts w:ascii="Times New Roman" w:hAnsi="Times New Roman"/>
          <w:sz w:val="20"/>
        </w:rPr>
      </w:pPr>
      <w:r>
        <w:rPr>
          <w:rFonts w:ascii="Times New Roman" w:hAnsi="Times New Roman"/>
          <w:b/>
          <w:color w:val="000000"/>
          <w:sz w:val="20"/>
        </w:rPr>
        <w:t>Credit agreements:</w:t>
      </w:r>
      <w:r>
        <w:rPr>
          <w:rFonts w:ascii="Times New Roman" w:hAnsi="Times New Roman"/>
          <w:color w:val="000000"/>
          <w:sz w:val="20"/>
        </w:rPr>
        <w:t xml:space="preserve"> The Company has credit agreements that include term loans and a Revolving Credit Facility of $800 million, all having similar terms and covenants. The outstanding balance on the term loans was $775 million and $975 million as of September 30, 2024 and December 31, 2023, respectively. As of September 30, 2024, there was no outstanding balance on the Revolving Credit Facility and as of December 31, 2023 there was a $100 million outstanding balance on the Revolving Credit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agreements require the Company to maintain certain financial ratios and comply with certain other covenants. The Company was in compliance with all such covenants as of September 30, 2024 and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1-month Term SOFR Rate for the 5-year term loan facility expiring October 27, 2026 is 4.945%, the 1-month Term SOFR Rate for the 3-year term loan facility expiring March 31, 2025 is 4.945% and the 1-month Term SOFR Rate for the 5-year term loan facility expiring March 31, 2027 is 4.945% as of September 30, 2024. These SOFR rates are inclusive of a 0.100% credit-spread adjustment per the terms of the relevant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to September 30, 2024, the Company exercised a draw down on the Revolving Credit Facility for $350 million in connection with the acquisition of Quintes Holding B.V.</w:t>
      </w:r>
    </w:p>
    <w:p>
      <w:pPr>
        <w:pStyle w:val="TextBody"/>
        <w:bidi w:val="0"/>
        <w:spacing w:before="240" w:after="283"/>
        <w:jc w:val="left"/>
        <w:rPr>
          <w:rFonts w:ascii="Times New Roman" w:hAnsi="Times New Roman"/>
          <w:sz w:val="20"/>
        </w:rPr>
      </w:pPr>
      <w:r>
        <w:rPr>
          <w:rFonts w:ascii="Times New Roman" w:hAnsi="Times New Roman"/>
          <w:b/>
          <w:color w:val="000000"/>
          <w:sz w:val="20"/>
        </w:rPr>
        <w:t>Fair value information about financial instruments not measured at fair value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tables presents liabilities that are not measured at fair value on a recurring basis: </w:t>
      </w:r>
    </w:p>
    <w:p>
      <w:pPr>
        <w:pStyle w:val="TextBody"/>
        <w:bidi w:val="0"/>
        <w:jc w:val="left"/>
        <w:rPr/>
      </w:pPr>
      <w:r>
        <w:rPr/>
        <w:t> </w:t>
      </w:r>
    </w:p>
    <w:tbl>
      <w:tblPr>
        <w:tblW w:w="8709" w:type="dxa"/>
        <w:jc w:val="left"/>
        <w:tblInd w:w="0" w:type="dxa"/>
        <w:tblLayout w:type="fixed"/>
        <w:tblCellMar>
          <w:top w:w="28" w:type="dxa"/>
          <w:left w:w="28" w:type="dxa"/>
          <w:bottom w:w="28" w:type="dxa"/>
          <w:right w:w="28" w:type="dxa"/>
        </w:tblCellMar>
      </w:tblPr>
      <w:tblGrid>
        <w:gridCol w:w="3036"/>
        <w:gridCol w:w="146"/>
        <w:gridCol w:w="336"/>
        <w:gridCol w:w="909"/>
        <w:gridCol w:w="146"/>
        <w:gridCol w:w="146"/>
        <w:gridCol w:w="239"/>
        <w:gridCol w:w="646"/>
        <w:gridCol w:w="146"/>
        <w:gridCol w:w="146"/>
        <w:gridCol w:w="336"/>
        <w:gridCol w:w="909"/>
        <w:gridCol w:w="146"/>
        <w:gridCol w:w="146"/>
        <w:gridCol w:w="239"/>
        <w:gridCol w:w="646"/>
        <w:gridCol w:w="391"/>
      </w:tblGrid>
      <w:tr>
        <w:trPr/>
        <w:tc>
          <w:tcPr>
            <w:tcW w:w="3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the Company's borrowings under various credit agreements approximates its fair value due to the variable interest rate based upon adjusted SOFR.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are considered Level 2 financial instruments as they are corroborated by observable market data.</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Substantially all of the Company's operating lease right-of-use assets and operating lease liabilities represent real estate leases for office space used to conduct the Company's business that expire on various dates through 2041. Leases generally contain renewal options and escalation clauses based upon increases in the lessors’ operating expenses and other charges. The Company anticipates that most of these leases will be renewed or replaced upon expiration, although not necessarily for the same amount of space.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balances and classification of operating lease right-of-use assets and operating lease liabilities within the Condensed Consolidated Balance Sheets is as follows:</w:t>
      </w:r>
    </w:p>
    <w:p>
      <w:pPr>
        <w:pStyle w:val="TextBody"/>
        <w:bidi w:val="0"/>
        <w:jc w:val="left"/>
        <w:rPr/>
      </w:pPr>
      <w:r>
        <w:rPr/>
        <w:t> </w:t>
      </w:r>
    </w:p>
    <w:tbl>
      <w:tblPr>
        <w:tblW w:w="10166" w:type="dxa"/>
        <w:jc w:val="left"/>
        <w:tblInd w:w="0" w:type="dxa"/>
        <w:tblLayout w:type="fixed"/>
        <w:tblCellMar>
          <w:top w:w="28" w:type="dxa"/>
          <w:left w:w="28" w:type="dxa"/>
          <w:bottom w:w="28" w:type="dxa"/>
          <w:right w:w="28" w:type="dxa"/>
        </w:tblCellMar>
      </w:tblPr>
      <w:tblGrid>
        <w:gridCol w:w="3196"/>
        <w:gridCol w:w="3196"/>
        <w:gridCol w:w="146"/>
        <w:gridCol w:w="514"/>
        <w:gridCol w:w="1031"/>
        <w:gridCol w:w="146"/>
        <w:gridCol w:w="146"/>
        <w:gridCol w:w="499"/>
        <w:gridCol w:w="1001"/>
        <w:gridCol w:w="291"/>
      </w:tblGrid>
      <w:tr>
        <w:trPr/>
        <w:tc>
          <w:tcPr>
            <w:tcW w:w="319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assets</w:t>
            </w:r>
          </w:p>
        </w:tc>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3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9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liabilities</w:t>
            </w:r>
          </w:p>
        </w:tc>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lease cost for operating leases were as follows:</w:t>
      </w:r>
    </w:p>
    <w:p>
      <w:pPr>
        <w:pStyle w:val="TextBody"/>
        <w:bidi w:val="0"/>
        <w:spacing w:before="120" w:after="283"/>
        <w:jc w:val="left"/>
        <w:rPr/>
      </w:pPr>
      <w:r>
        <w:rPr/>
        <w:t> </w:t>
      </w:r>
    </w:p>
    <w:tbl>
      <w:tblPr>
        <w:tblW w:w="8247" w:type="dxa"/>
        <w:jc w:val="left"/>
        <w:tblInd w:w="0" w:type="dxa"/>
        <w:tblLayout w:type="fixed"/>
        <w:tblCellMar>
          <w:top w:w="28" w:type="dxa"/>
          <w:left w:w="28" w:type="dxa"/>
          <w:bottom w:w="28" w:type="dxa"/>
          <w:right w:w="28" w:type="dxa"/>
        </w:tblCellMar>
      </w:tblPr>
      <w:tblGrid>
        <w:gridCol w:w="2156"/>
        <w:gridCol w:w="396"/>
        <w:gridCol w:w="649"/>
        <w:gridCol w:w="274"/>
        <w:gridCol w:w="274"/>
        <w:gridCol w:w="396"/>
        <w:gridCol w:w="649"/>
        <w:gridCol w:w="146"/>
        <w:gridCol w:w="146"/>
        <w:gridCol w:w="394"/>
        <w:gridCol w:w="590"/>
        <w:gridCol w:w="310"/>
        <w:gridCol w:w="272"/>
        <w:gridCol w:w="394"/>
        <w:gridCol w:w="590"/>
        <w:gridCol w:w="611"/>
      </w:tblGrid>
      <w:tr>
        <w:trPr/>
        <w:tc>
          <w:tcPr>
            <w:tcW w:w="215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15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 w:type="dxa"/>
            <w:tcBorders/>
            <w:shd w:fill="FFFFFF" w:val="cle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 w:type="dxa"/>
            <w:tcBorders/>
            <w:shd w:fill="FFFFFF" w:val="clear"/>
            <w:vAlign w:val="center"/>
          </w:tcPr>
          <w:p>
            <w:pPr>
              <w:pStyle w:val="TableContents"/>
              <w:bidi w:val="0"/>
              <w:spacing w:before="0" w:after="283"/>
              <w:jc w:val="center"/>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6" w:type="dxa"/>
            <w:tcBorders/>
            <w:shd w:fill="FFFFFF"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Operating leases:</w:t>
            </w:r>
          </w:p>
        </w:tc>
        <w:tc>
          <w:tcPr>
            <w:tcW w:w="1045"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c>
          <w:tcPr>
            <w:tcW w:w="10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84" w:type="dxa"/>
            <w:gridSpan w:val="2"/>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right"/>
              <w:rPr/>
            </w:pPr>
            <w:r>
              <w:rPr/>
              <w:t> </w:t>
            </w:r>
          </w:p>
        </w:tc>
        <w:tc>
          <w:tcPr>
            <w:tcW w:w="984"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2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cost</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4"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0"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2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Variable lease cost</w:t>
            </w:r>
          </w:p>
        </w:tc>
        <w:tc>
          <w:tcPr>
            <w:tcW w:w="39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4"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21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cost</w:t>
            </w:r>
          </w:p>
        </w:tc>
        <w:tc>
          <w:tcPr>
            <w:tcW w:w="3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4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right"/>
              <w:rPr/>
            </w:pPr>
            <w:r>
              <w:rPr/>
              <w:t> </w:t>
            </w:r>
          </w:p>
        </w:tc>
        <w:tc>
          <w:tcPr>
            <w:tcW w:w="3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4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9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1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3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9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Sublease income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righ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1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lease cost net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righ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remaining lease term and the weighted average discount rate for operating leases as of September 30, 2024 were:</w:t>
      </w:r>
    </w:p>
    <w:p>
      <w:pPr>
        <w:pStyle w:val="TextBody"/>
        <w:bidi w:val="0"/>
        <w:jc w:val="left"/>
        <w:rPr/>
      </w:pPr>
      <w:r>
        <w:rPr/>
        <w:t> </w:t>
      </w:r>
    </w:p>
    <w:tbl>
      <w:tblPr>
        <w:tblW w:w="5065" w:type="dxa"/>
        <w:jc w:val="left"/>
        <w:tblInd w:w="0" w:type="dxa"/>
        <w:tblLayout w:type="fixed"/>
        <w:tblCellMar>
          <w:top w:w="28" w:type="dxa"/>
          <w:left w:w="28" w:type="dxa"/>
          <w:bottom w:w="28" w:type="dxa"/>
          <w:right w:w="28" w:type="dxa"/>
        </w:tblCellMar>
      </w:tblPr>
      <w:tblGrid>
        <w:gridCol w:w="3991"/>
        <w:gridCol w:w="146"/>
        <w:gridCol w:w="146"/>
        <w:gridCol w:w="466"/>
        <w:gridCol w:w="31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316"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Maturities of the operating lease liabilities by fiscal year at September 30, 2024 for the Company's operating leases are as follows:</w:t>
      </w:r>
    </w:p>
    <w:p>
      <w:pPr>
        <w:pStyle w:val="TextBody"/>
        <w:bidi w:val="0"/>
        <w:jc w:val="left"/>
        <w:rPr/>
      </w:pPr>
      <w:r>
        <w:rPr/>
        <w:t> </w:t>
      </w:r>
    </w:p>
    <w:tbl>
      <w:tblPr>
        <w:tblW w:w="4628" w:type="dxa"/>
        <w:jc w:val="left"/>
        <w:tblInd w:w="0" w:type="dxa"/>
        <w:tblLayout w:type="fixed"/>
        <w:tblCellMar>
          <w:top w:w="28" w:type="dxa"/>
          <w:left w:w="28" w:type="dxa"/>
          <w:bottom w:w="28" w:type="dxa"/>
          <w:right w:w="28" w:type="dxa"/>
        </w:tblCellMar>
      </w:tblPr>
      <w:tblGrid>
        <w:gridCol w:w="2986"/>
        <w:gridCol w:w="146"/>
        <w:gridCol w:w="434"/>
        <w:gridCol w:w="871"/>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(Remainder)</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payments</w:t>
            </w:r>
          </w:p>
        </w:tc>
        <w:tc>
          <w:tcPr>
            <w:tcW w:w="146" w:type="dxa"/>
            <w:tcBorders/>
            <w:shd w:fill="CFF0FC" w:val="cle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Supplemental cash flow information for operating leases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06"/>
        <w:gridCol w:w="289"/>
        <w:gridCol w:w="433"/>
        <w:gridCol w:w="474"/>
        <w:gridCol w:w="474"/>
        <w:gridCol w:w="289"/>
        <w:gridCol w:w="433"/>
        <w:gridCol w:w="346"/>
        <w:gridCol w:w="346"/>
        <w:gridCol w:w="347"/>
        <w:gridCol w:w="521"/>
        <w:gridCol w:w="240"/>
        <w:gridCol w:w="240"/>
        <w:gridCol w:w="347"/>
        <w:gridCol w:w="521"/>
        <w:gridCol w:w="399"/>
      </w:tblGrid>
      <w:tr>
        <w:trPr/>
        <w:tc>
          <w:tcPr>
            <w:tcW w:w="450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506" w:type="dxa"/>
            <w:tcBorders/>
            <w:shd w:fill="FFFFFF" w:val="clear"/>
            <w:vAlign w:val="center"/>
          </w:tcPr>
          <w:p>
            <w:pPr>
              <w:pStyle w:val="TableContents"/>
              <w:bidi w:val="0"/>
              <w:spacing w:before="0" w:after="283"/>
              <w:jc w:val="left"/>
              <w:rPr/>
            </w:pPr>
            <w:r>
              <w:rPr/>
              <w:t> </w:t>
            </w:r>
          </w:p>
        </w:tc>
        <w:tc>
          <w:tcPr>
            <w:tcW w:w="23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measurement of liabilities</w:t>
            </w:r>
          </w:p>
        </w:tc>
        <w:tc>
          <w:tcPr>
            <w:tcW w:w="722" w:type="dxa"/>
            <w:gridSpan w:val="2"/>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left"/>
              <w:rPr/>
            </w:pPr>
            <w:r>
              <w:rPr/>
              <w:t> </w:t>
            </w:r>
          </w:p>
        </w:tc>
        <w:tc>
          <w:tcPr>
            <w:tcW w:w="722"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left"/>
              <w:rPr/>
            </w:pPr>
            <w:r>
              <w:rPr/>
              <w:t> </w:t>
            </w:r>
          </w:p>
        </w:tc>
        <w:tc>
          <w:tcPr>
            <w:tcW w:w="868" w:type="dxa"/>
            <w:gridSpan w:val="2"/>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68" w:type="dxa"/>
            <w:gridSpan w:val="2"/>
            <w:tcBorders/>
            <w:shd w:fill="FFFFFF" w:val="clear"/>
            <w:vAlign w:val="center"/>
          </w:tcPr>
          <w:p>
            <w:pPr>
              <w:pStyle w:val="TableContents"/>
              <w:bidi w:val="0"/>
              <w:spacing w:before="0" w:after="283"/>
              <w:jc w:val="right"/>
              <w:rPr/>
            </w:pPr>
            <w:r>
              <w:rPr/>
              <w:t> </w:t>
            </w:r>
          </w:p>
        </w:tc>
        <w:tc>
          <w:tcPr>
            <w:tcW w:w="399" w:type="dxa"/>
            <w:tcBorders/>
            <w:shd w:fill="FFFFFF" w:val="clear"/>
            <w:vAlign w:val="center"/>
          </w:tcPr>
          <w:p>
            <w:pPr>
              <w:pStyle w:val="TableContents"/>
              <w:bidi w:val="0"/>
              <w:spacing w:before="0" w:after="283"/>
              <w:ind w:left="0" w:right="0" w:firstLine="200"/>
              <w:jc w:val="right"/>
              <w:rPr/>
            </w:pPr>
            <w:r>
              <w:rPr/>
              <w:t> </w:t>
            </w:r>
          </w:p>
        </w:tc>
      </w:tr>
      <w:tr>
        <w:trPr/>
        <w:tc>
          <w:tcPr>
            <w:tcW w:w="45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74" w:type="dxa"/>
            <w:tcBorders/>
            <w:shd w:fill="CFF0FC" w:val="clear"/>
            <w:vAlign w:val="center"/>
          </w:tcPr>
          <w:p>
            <w:pPr>
              <w:pStyle w:val="TableContents"/>
              <w:bidi w:val="0"/>
              <w:spacing w:before="0" w:after="283"/>
              <w:ind w:left="0" w:right="0" w:firstLine="200"/>
              <w:jc w:val="left"/>
              <w:rPr/>
            </w:pPr>
            <w:r>
              <w:rPr/>
              <w:t> </w:t>
            </w:r>
          </w:p>
        </w:tc>
        <w:tc>
          <w:tcPr>
            <w:tcW w:w="474" w:type="dxa"/>
            <w:tcBorders/>
            <w:shd w:fill="CFF0FC" w:val="clear"/>
            <w:vAlign w:val="center"/>
          </w:tcPr>
          <w:p>
            <w:pPr>
              <w:pStyle w:val="TableContents"/>
              <w:bidi w:val="0"/>
              <w:spacing w:before="0" w:after="283"/>
              <w:ind w:left="200" w:right="0" w:firstLine="200"/>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40"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99" w:type="dxa"/>
            <w:tcBorders/>
            <w:shd w:fill="CFF0FC" w:val="clear"/>
            <w:vAlign w:val="center"/>
          </w:tcPr>
          <w:p>
            <w:pPr>
              <w:pStyle w:val="TableContents"/>
              <w:bidi w:val="0"/>
              <w:spacing w:before="0" w:after="283"/>
              <w:jc w:val="left"/>
              <w:rPr/>
            </w:pPr>
            <w:r>
              <w:rPr/>
              <w:t> </w:t>
            </w:r>
          </w:p>
        </w:tc>
      </w:tr>
      <w:tr>
        <w:trPr/>
        <w:tc>
          <w:tcPr>
            <w:tcW w:w="4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liabilities</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74"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4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9"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 Supplemental Disclosures of Cash Flow Information and Non-Cash Financing and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the Company had an impact of $45 million from foreign exchange rate changes on cash and cash equivalents inclusive of fiduciary cash reported on its Condensed Consolidated Statements of Cash Flows due to the change in currency exchange rates primarily for British pounds.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sale of certain third-party claims administration and adjusting services businesses in the fourth quarter of 2023, the Company is entitled to future consideration payments upon achievement of certain conditions in accordance with the terms of the sale agreement. During the second quarter of 2024, the Company received $57 million from the settlement of two of the contingent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the Company has accrued for and deferred approximately $50 million related to our third quarter federal income tax payment due to Hurricane Debby tax relief, which was announced by the Internal Revenue Service on August 9, 2024. In addition, the Internal Revenue Service announced on October 11, 2024, that as a result of Hurricane Milton, the fourth quarter federal income taxes are also permissible to be deferred. The deadline to pay these deferred tax payments is May 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the Company accrued for and deferred $91 million related to certain federal income tax payments. This deferral was allowed under Hurricane Idalia tax relief, which was announced by the Internal Revenue Service on August 30, 2023. These deferred income tax payments were paid by the deadline of February 15, 2024. On March 15, 2023, the Company paid $31 million of accrued federal income tax payments originally due in the fourth quarter of 2022, which was deferred under a similar tax deferral announced by the Internal Revenue Service associated with Hurricane Ian which was announced on September 29, 2022. During the first quarter of 2024, the Company also made tax payments of approximately $30 million associated with the gain on disposal of certain third-party claims administration and adjusting services businesses sold in the fourth quarter of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Cash paid during the period for interest and income taxes are summarized as follows: </w:t>
      </w:r>
    </w:p>
    <w:tbl>
      <w:tblPr>
        <w:tblW w:w="5801" w:type="dxa"/>
        <w:jc w:val="left"/>
        <w:tblInd w:w="0" w:type="dxa"/>
        <w:tblLayout w:type="fixed"/>
        <w:tblCellMar>
          <w:top w:w="28" w:type="dxa"/>
          <w:left w:w="28" w:type="dxa"/>
          <w:bottom w:w="28" w:type="dxa"/>
          <w:right w:w="28" w:type="dxa"/>
        </w:tblCellMar>
      </w:tblPr>
      <w:tblGrid>
        <w:gridCol w:w="2716"/>
        <w:gridCol w:w="146"/>
        <w:gridCol w:w="345"/>
        <w:gridCol w:w="690"/>
        <w:gridCol w:w="239"/>
        <w:gridCol w:w="239"/>
        <w:gridCol w:w="345"/>
        <w:gridCol w:w="690"/>
        <w:gridCol w:w="3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during the period for:</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7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39"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net of refunds</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39"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Significant non-cash investing and financing activities are summarized as follows:</w:t>
      </w:r>
    </w:p>
    <w:tbl>
      <w:tblPr>
        <w:tblW w:w="9469" w:type="dxa"/>
        <w:jc w:val="left"/>
        <w:tblInd w:w="0" w:type="dxa"/>
        <w:tblLayout w:type="fixed"/>
        <w:tblCellMar>
          <w:top w:w="28" w:type="dxa"/>
          <w:left w:w="28" w:type="dxa"/>
          <w:bottom w:w="28" w:type="dxa"/>
          <w:right w:w="28" w:type="dxa"/>
        </w:tblCellMar>
      </w:tblPr>
      <w:tblGrid>
        <w:gridCol w:w="6586"/>
        <w:gridCol w:w="146"/>
        <w:gridCol w:w="399"/>
        <w:gridCol w:w="598"/>
        <w:gridCol w:w="276"/>
        <w:gridCol w:w="276"/>
        <w:gridCol w:w="399"/>
        <w:gridCol w:w="598"/>
        <w:gridCol w:w="191"/>
      </w:tblGrid>
      <w:tr>
        <w:trPr/>
        <w:tc>
          <w:tcPr>
            <w:tcW w:w="6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payables issued for agency acquisitions and purchased customer accounts</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CFF0FC" w:val="cle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acquisition earn-out payables issued for agency acquisitions</w:t>
            </w:r>
          </w:p>
        </w:tc>
        <w:tc>
          <w:tcPr>
            <w:tcW w:w="14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restricted cash balance is composed of funds held in separate premium trust accounts as required by state law or, in some cases, by agreement with carrier partners. The following is a reconciliation of cash and cash equivalents inclusive of restricted cash as of September 30, 2024 and 2023.</w:t>
      </w:r>
    </w:p>
    <w:tbl>
      <w:tblPr>
        <w:tblW w:w="9235" w:type="dxa"/>
        <w:jc w:val="left"/>
        <w:tblInd w:w="0" w:type="dxa"/>
        <w:tblLayout w:type="fixed"/>
        <w:tblCellMar>
          <w:top w:w="28" w:type="dxa"/>
          <w:left w:w="28" w:type="dxa"/>
          <w:bottom w:w="28" w:type="dxa"/>
          <w:right w:w="28" w:type="dxa"/>
        </w:tblCellMar>
      </w:tblPr>
      <w:tblGrid>
        <w:gridCol w:w="6171"/>
        <w:gridCol w:w="146"/>
        <w:gridCol w:w="307"/>
        <w:gridCol w:w="833"/>
        <w:gridCol w:w="146"/>
        <w:gridCol w:w="146"/>
        <w:gridCol w:w="294"/>
        <w:gridCol w:w="801"/>
        <w:gridCol w:w="391"/>
      </w:tblGrid>
      <w:tr>
        <w:trPr/>
        <w:tc>
          <w:tcPr>
            <w:tcW w:w="6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Table to reconcile restricted and non-restricted fiduciary cash</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fiduciary cash</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391" w:type="dxa"/>
            <w:tcBorders/>
            <w:shd w:fill="FFFFFF" w:val="clear"/>
            <w:vAlign w:val="center"/>
          </w:tcPr>
          <w:p>
            <w:pPr>
              <w:pStyle w:val="TableContents"/>
              <w:bidi w:val="0"/>
              <w:spacing w:before="0" w:after="283"/>
              <w:jc w:val="lef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Non-restricted fiduciary cash</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restricted and non-restricted fiduciary cash at the end of the period</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Company's fiduciary cash increased as of September 30, 2024 compared to December 31, 2023 due to growth in the business, normal seasonality and acquisition activity during 2024. </w:t>
      </w:r>
    </w:p>
    <w:tbl>
      <w:tblPr>
        <w:tblW w:w="9705" w:type="dxa"/>
        <w:jc w:val="left"/>
        <w:tblInd w:w="0" w:type="dxa"/>
        <w:tblLayout w:type="fixed"/>
        <w:tblCellMar>
          <w:top w:w="28" w:type="dxa"/>
          <w:left w:w="28" w:type="dxa"/>
          <w:bottom w:w="28" w:type="dxa"/>
          <w:right w:w="28" w:type="dxa"/>
        </w:tblCellMar>
      </w:tblPr>
      <w:tblGrid>
        <w:gridCol w:w="7026"/>
        <w:gridCol w:w="146"/>
        <w:gridCol w:w="243"/>
        <w:gridCol w:w="660"/>
        <w:gridCol w:w="168"/>
        <w:gridCol w:w="168"/>
        <w:gridCol w:w="243"/>
        <w:gridCol w:w="660"/>
        <w:gridCol w:w="391"/>
      </w:tblGrid>
      <w:tr>
        <w:trPr/>
        <w:tc>
          <w:tcPr>
            <w:tcW w:w="7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as of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Table to reconcile cash and cash equivalents inclusive of fiduciary cash</w:t>
            </w:r>
          </w:p>
        </w:tc>
        <w:tc>
          <w:tcPr>
            <w:tcW w:w="146" w:type="dxa"/>
            <w:tcBorders/>
            <w:shd w:fill="CFF0FC" w:val="clear"/>
            <w:vAlign w:val="center"/>
          </w:tcPr>
          <w:p>
            <w:pPr>
              <w:pStyle w:val="TableContents"/>
              <w:bidi w:val="0"/>
              <w:spacing w:before="0" w:after="283"/>
              <w:jc w:val="left"/>
              <w:rPr/>
            </w:pPr>
            <w:r>
              <w:rPr/>
              <w:t> </w:t>
            </w:r>
          </w:p>
        </w:tc>
        <w:tc>
          <w:tcPr>
            <w:tcW w:w="903" w:type="dxa"/>
            <w:gridSpan w:val="2"/>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903"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7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391" w:type="dxa"/>
            <w:tcBorders/>
            <w:shd w:fill="FFFFFF" w:val="clear"/>
            <w:vAlign w:val="center"/>
          </w:tcPr>
          <w:p>
            <w:pPr>
              <w:pStyle w:val="TableContents"/>
              <w:bidi w:val="0"/>
              <w:spacing w:before="0" w:after="283"/>
              <w:jc w:val="left"/>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Fiduciary cash</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cash and cash equivalents inclusive of restricted cash at the end of the period</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11 Legal and Regulatory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involved in numerous pending or threatened proceedings by or against Brown &amp; Brown, Inc. or one or more of its subsidiaries that arise in the ordinary course of business. The damages that may be claimed against the Company in these various proceedings are in some cases substantial, including in certain instances claims for punitive or extraordinary damages. Some of these claims and lawsuits have been resolved; others are in the process of being resolved and others are still in the investigation or discovery phase. The Company will continue to respond appropriately to these claims and lawsuits and vigorously protect its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continues to assess certain litigation and claims to determine the amounts, if any, that management believes will be paid as a result of such claims and litigation and, therefore, additional losses may be accrued and paid in the future, which could adversely impact the Company’s operating results, cash flows and overall liquidity. The Company maintains third-party insurance policies to provide coverage for certain legal claims, in an effort to mitigate its overall exposure to unanticipated claims or adverse decisions. However, as (i) one or more of the Company’s insurance carriers could take the position that portions of these claims are not covered by the Company’s insurance, (ii) to the extent that payments are made to resolve claims and lawsuits, applicable insurance policy limits are eroded and (iii) the claims and lawsuits relating to these matters are continuing to develop, it is possible that future results of operations or cash flows for any particular quarterly or annual period could be materially affected by unfavorable resolutions of these matters. Based upon the AM Best Company ratings of these third-party insurers and other factors, management does not believe there is a substantial risk of an insurer’s material non-performance related to any current insured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basis of current information, the availability of insurance and legal advice, in management’s opinion, the Company is not currently involved in any legal proceedings which, individually or in the aggregate, would have a material adverse effect on its financial condition, operations and/or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12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Brown &amp; Brown’s business is divided into three reportable segments: (i) the Retail segment, which provides a broad range of insurance products and services to commercial, public and quasi-public entities, and to professional and individual customers, and non-insurance risk-mitigating products through our F&amp;I businesses; (ii) the Programs segment, which primarily acts as MGUs, provides professional liability and related package products for certain professionals, a range of insurance products for individuals, flood coverage, and targeted products and services designated for specific industries, trade groups, governmental entities and market niches, all of which are delivered through nationwide networks of independent agents, and Brown &amp; Brown retail agents; and (iii) the Wholesale Brokerage segment, which markets and sells excess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surplus commercial and personal lines insurance, primarily through independent agents and brokers, as well as Brown &amp; Brown retail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Brown &amp; Brown conducts most of its operations within the United States of America. International operations include retail operations based in Bermuda, Canada, Cayman Islands, Republic of Ireland and the United Kingdom, managing general underwriter operations in Canada, France, Germany, Hong Kong, Italy, Malaysia, the Netherlands, United Arab Emirates and the United Kingdom and wholesale brokerage operations based in Belgium, Hong Kong, Italy and the United Kingdom. These operations earned $155 million and $127 million of total revenues for the three months ended September 30, 2024 and 2023, respectively. These operations earned $486 million and $374 million of total revenues for the nine months ended September 30, 2024 and 2023,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of the reportable segments are the same as those described in Note 1 of the Company’s Annual Report on Form 10-K for the year ended December 31, 2023. Intersegment revenues are eliminated.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Summarized financial information concerning the Company’s reportable segments is shown in the following tables. The “Other” column includes any income and expenses not allocated to reportable segments, corporate-related items, including the intercompany interest expense charge to the reporting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fourth quarter of 2023, the Company sold certain third-party claims administration and adjusting services businesses representing approximately 50% of the total revenues of the Services segment. As a result, beginning in fiscal year 2024, the Company operates three segments: Retail, Programs (formerly National Programs) and Wholesale Brokerage. Balances presented for the three and nine months ended September 30, 2024 have been recast to align with the three-segment structure.</w:t>
      </w:r>
    </w:p>
    <w:p>
      <w:pPr>
        <w:pStyle w:val="TextBody"/>
        <w:bidi w:val="0"/>
        <w:jc w:val="left"/>
        <w:rPr/>
      </w:pPr>
      <w:r>
        <w:rPr/>
        <w:t> </w:t>
      </w:r>
    </w:p>
    <w:tbl>
      <w:tblPr>
        <w:tblW w:w="7909" w:type="dxa"/>
        <w:jc w:val="left"/>
        <w:tblInd w:w="0" w:type="dxa"/>
        <w:tblLayout w:type="fixed"/>
        <w:tblCellMar>
          <w:top w:w="28" w:type="dxa"/>
          <w:left w:w="28" w:type="dxa"/>
          <w:bottom w:w="28" w:type="dxa"/>
          <w:right w:w="28" w:type="dxa"/>
        </w:tblCellMar>
      </w:tblPr>
      <w:tblGrid>
        <w:gridCol w:w="2386"/>
        <w:gridCol w:w="146"/>
        <w:gridCol w:w="211"/>
        <w:gridCol w:w="571"/>
        <w:gridCol w:w="146"/>
        <w:gridCol w:w="146"/>
        <w:gridCol w:w="222"/>
        <w:gridCol w:w="604"/>
        <w:gridCol w:w="146"/>
        <w:gridCol w:w="146"/>
        <w:gridCol w:w="235"/>
        <w:gridCol w:w="636"/>
        <w:gridCol w:w="146"/>
        <w:gridCol w:w="146"/>
        <w:gridCol w:w="211"/>
        <w:gridCol w:w="421"/>
        <w:gridCol w:w="166"/>
        <w:gridCol w:w="146"/>
        <w:gridCol w:w="211"/>
        <w:gridCol w:w="676"/>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8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17,525</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7909" w:type="dxa"/>
        <w:jc w:val="left"/>
        <w:tblInd w:w="0" w:type="dxa"/>
        <w:tblLayout w:type="fixed"/>
        <w:tblCellMar>
          <w:top w:w="28" w:type="dxa"/>
          <w:left w:w="28" w:type="dxa"/>
          <w:bottom w:w="28" w:type="dxa"/>
          <w:right w:w="28" w:type="dxa"/>
        </w:tblCellMar>
      </w:tblPr>
      <w:tblGrid>
        <w:gridCol w:w="2386"/>
        <w:gridCol w:w="146"/>
        <w:gridCol w:w="211"/>
        <w:gridCol w:w="571"/>
        <w:gridCol w:w="146"/>
        <w:gridCol w:w="146"/>
        <w:gridCol w:w="222"/>
        <w:gridCol w:w="604"/>
        <w:gridCol w:w="146"/>
        <w:gridCol w:w="146"/>
        <w:gridCol w:w="235"/>
        <w:gridCol w:w="636"/>
        <w:gridCol w:w="146"/>
        <w:gridCol w:w="146"/>
        <w:gridCol w:w="211"/>
        <w:gridCol w:w="421"/>
        <w:gridCol w:w="166"/>
        <w:gridCol w:w="146"/>
        <w:gridCol w:w="211"/>
        <w:gridCol w:w="676"/>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8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13,983</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7909" w:type="dxa"/>
        <w:jc w:val="left"/>
        <w:tblInd w:w="0" w:type="dxa"/>
        <w:tblLayout w:type="fixed"/>
        <w:tblCellMar>
          <w:top w:w="28" w:type="dxa"/>
          <w:left w:w="28" w:type="dxa"/>
          <w:bottom w:w="28" w:type="dxa"/>
          <w:right w:w="28" w:type="dxa"/>
        </w:tblCellMar>
      </w:tblPr>
      <w:tblGrid>
        <w:gridCol w:w="2386"/>
        <w:gridCol w:w="146"/>
        <w:gridCol w:w="211"/>
        <w:gridCol w:w="571"/>
        <w:gridCol w:w="146"/>
        <w:gridCol w:w="146"/>
        <w:gridCol w:w="222"/>
        <w:gridCol w:w="604"/>
        <w:gridCol w:w="146"/>
        <w:gridCol w:w="146"/>
        <w:gridCol w:w="235"/>
        <w:gridCol w:w="636"/>
        <w:gridCol w:w="146"/>
        <w:gridCol w:w="146"/>
        <w:gridCol w:w="211"/>
        <w:gridCol w:w="421"/>
        <w:gridCol w:w="166"/>
        <w:gridCol w:w="146"/>
        <w:gridCol w:w="211"/>
        <w:gridCol w:w="676"/>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8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17,525</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909" w:type="dxa"/>
        <w:jc w:val="left"/>
        <w:tblInd w:w="0" w:type="dxa"/>
        <w:tblLayout w:type="fixed"/>
        <w:tblCellMar>
          <w:top w:w="28" w:type="dxa"/>
          <w:left w:w="28" w:type="dxa"/>
          <w:bottom w:w="28" w:type="dxa"/>
          <w:right w:w="28" w:type="dxa"/>
        </w:tblCellMar>
      </w:tblPr>
      <w:tblGrid>
        <w:gridCol w:w="2386"/>
        <w:gridCol w:w="146"/>
        <w:gridCol w:w="211"/>
        <w:gridCol w:w="571"/>
        <w:gridCol w:w="146"/>
        <w:gridCol w:w="146"/>
        <w:gridCol w:w="222"/>
        <w:gridCol w:w="604"/>
        <w:gridCol w:w="146"/>
        <w:gridCol w:w="146"/>
        <w:gridCol w:w="235"/>
        <w:gridCol w:w="636"/>
        <w:gridCol w:w="146"/>
        <w:gridCol w:w="146"/>
        <w:gridCol w:w="211"/>
        <w:gridCol w:w="421"/>
        <w:gridCol w:w="166"/>
        <w:gridCol w:w="146"/>
        <w:gridCol w:w="211"/>
        <w:gridCol w:w="676"/>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8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13,983</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Insurance Company Subsidiary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National Flood Insurance Program is a program administered by FEMA whereby the Company sells and services NFIP flood insurance policies on behalf of FEMA and receives fees for its services. Congressional authorization for the NFIP is periodically evaluated and may be subject to potential government shutdowns. The Company sells excess flood policies which are 100% ceded to a highly rated reinsurance carrier. The Company also operates two Captives for the purpose of facilitating additional underwriting capacity and to participate in a portion of the underwriting results. One Captive participates on a quota share basis for policies placed by certain of our MGU businesses that are currently focused on property insurance for earthquake and wind exposed properties with a portion of premiums ceded to reinsurance companies, limiting, but not fully eliminating the Company's exposure to underwriting losses. The other Captive participates through excess of loss reinsurance layers associated with one of our MGU businesses focused on placements of personal property, excluding flood, primarily in the southeastern United States with one layer of per risk excess reinsurance and three layers of catastrophe per occurrence reinsurance. All four layers have limited reinstatements and therefore have capped, maximum aggregate limits. The effects of reinsurance on premiums written and earned are as follows:</w:t>
      </w:r>
    </w:p>
    <w:p>
      <w:pPr>
        <w:pStyle w:val="TextBody"/>
        <w:bidi w:val="0"/>
        <w:jc w:val="left"/>
        <w:rPr/>
      </w:pPr>
      <w:r>
        <w:rPr/>
        <w:t> </w:t>
      </w:r>
    </w:p>
    <w:p>
      <w:pPr>
        <w:pStyle w:val="TextBody"/>
        <w:bidi w:val="0"/>
        <w:jc w:val="left"/>
        <w:rPr/>
      </w:pPr>
      <w:r>
        <w:rPr/>
        <w:t> </w:t>
      </w:r>
    </w:p>
    <w:tbl>
      <w:tblPr>
        <w:tblW w:w="9541" w:type="dxa"/>
        <w:jc w:val="left"/>
        <w:tblInd w:w="0" w:type="dxa"/>
        <w:tblLayout w:type="fixed"/>
        <w:tblCellMar>
          <w:top w:w="28" w:type="dxa"/>
          <w:left w:w="28" w:type="dxa"/>
          <w:bottom w:w="28" w:type="dxa"/>
          <w:right w:w="28" w:type="dxa"/>
        </w:tblCellMar>
      </w:tblPr>
      <w:tblGrid>
        <w:gridCol w:w="6031"/>
        <w:gridCol w:w="146"/>
        <w:gridCol w:w="367"/>
        <w:gridCol w:w="838"/>
        <w:gridCol w:w="289"/>
        <w:gridCol w:w="254"/>
        <w:gridCol w:w="367"/>
        <w:gridCol w:w="838"/>
        <w:gridCol w:w="4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Written</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premiums - WNFIC</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289"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4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premiums - WNFIC</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premiums - WNFIC</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premiums - Quota share captive and excess of loss layer captive</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89"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premiums - Quota share captive</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premiums - Quota share captive and excess of loss layer captive</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premiums - Total</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premiums written by the Company under NFIP are 100% ceded to FEMA, for which WNFIC received a 29.5% gross expense allowance from January 1, 2024 through September 30, 2024. For the same period, the Company ceded $771 million of written premiums to FEMA for NFIP policies and $2 million to highly rated carriers for excess flood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the Condensed Consolidated Balance Sheets contained reinsurance recoverable of $2,034 million and prepaid reinsurance premiums of $539 million, which are related to the WNFIC business. For flood policies, there was no change in the balance in the reserve for losses and loss adjustment expense net of reinsurance recoverable during the period January 1, 2024 through September 30, 2024, as the Company's direct premiums written were 100% ceded to two reinsurers. The balance of the reserve for losses and loss adjustment expense for the WNFIC, excluding related reinsurance recoverable, as of September 30, 2024 was $2,034 million. These balances primarily relate to claims activity from Hurricane Helene which occurred in late September 2024. The Company expects to process additional flood claims resulting from Hurricane Milton, which occurred in October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WNFIC maintains capital in excess of the minimum statutory amount of $8 million as required by regulatory authorities. The statutory capital and surplus of WNFIC was $43 million at September 30, 2024 and $39 million as of December 31, 2023. For the period from January 1, 2024 through September 30, 2024, WNFIC generated statutory net income of $9 million. For the period from January 1, 2023 through December 31, 2023, WNFIC generated statutory net income of $7 million. The maximum amount of ordinary dividends that WNFIC can pay in a rolling twelve month period is limited to the greater of 10% of statutory adjusted capital and surplus or 100% of adjusted net income. On June 10, 2024, WNFIC paid an ordinary dividend of $7 million. The dividend was declared and approved by the WNFIC Board of Directors on May 28, 2024. On April 28, 2023, WNFIC paid an ordinary dividend of $3 million. The dividend was declared and approved by the WNFIC Board of Directors by consent on March 17, 2023. The maximum dividend payout that may be made in 2024 and without prior approval is $7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the initial funding to capitalize the quota share Captive was $6 million. This capital in addition to earnings of $15 million through September 30, 2024 is considered at risk for loss. Assumed net written and net earned premiums for the quota share Captive for the three months ended September 30, 2024, were $10 million and $22 million, respectively. For nine months ended September 30, 2024 and 2023, the ultimate loss expense inclusive of incurred but not reported ("IBNR") claims was $11 million, of which $3 million is related to the estimated insured losses resulting from Hurricane Ian. As of September 30, 2024, the Condensed Consolidated Balance Sheet contained deferred acquisitions costs of $58 million, reinsurance payable for $5 million, and the reserve for losses and loss adjustment expense, excluding related reinsurance recoverable, was $6 million. The first collateral release was received in March 2024 and is based on an IBNR factor times earned premium compared to the current collateral balance.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excess of loss layer Captive was renewed in June 2024 with underlying reinsurance treaties effective from June 1, 2024 through May 31, 2025. This Captive’s maximum aggregate annual underwriting exposure is $2 million per occurrence, up to $6 million.</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14 Shareholders’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authorization from the Company’s Board of Directors, shares may be purchased from time to time, at the Company’s discretion and subject to the availability of stock, market conditions, the trading price of the stock, alternative uses for capital, the Company’s financial performance and other potential factors. These purchases may be carried out through open market purchases, block trades, accelerated share repurchase plans of up to $100 million each (unless otherwise approved by the Board of Directors), negotiated private transactions or pursuant to any trading plan that may be adopted in accordance with Rule 10b5-1 of the Securities Exchange Act of 1934.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outstanding approval to purchase up to approximately $249 million, in the aggregate, of the Company's outstanding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the Company paid a dividend of $0.1300 per share, which was approved by the Board of Directors on January 17, 2024 and paid on February 14, 2024 for a total of $38 million. During the second quarter, the Company paid a dividend of $0.1300 per share, which was approved by the Board of Directors on April 22, 2024 and paid on May 15, 2024 for a total of $36 million. During the third quarter, the Company paid a dividend of $0.1300 per share, which was approved by the Board of Directors on July 17, 2024 and paid on August 14, 2024 for a total of $37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23, 2024, the Board of Directors approved a dividend of $0.1500 per share payable on November 13, 2024 to shareholders of record on November 6,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of 2024 the Company received $5 million in exchange for a 49% interest in our quota-share captive.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first quarter of 2024, the Company paid $2 million to buy additional interest in an entity in which it was already the majority owner.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has approximately $6 million of minority interest arising from consolidated acquisitions where the Company acquired a controlling majority ownership position with a residual noncontrolling ownership position held by unaffiliated entities.</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updates the Management’s Discussion and Analysis of Financial Condition and Results of Operations contained in the Company’s Annual Report on Form 10-K for the fiscal year ended December 31, 2023, and the two discussions should be read together.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sz w:val="20"/>
        </w:rPr>
      </w:pPr>
      <w:r>
        <w:rPr>
          <w:rFonts w:ascii="Times New Roman" w:hAnsi="Times New Roman"/>
          <w:b/>
          <w:color w:val="000000"/>
          <w:sz w:val="20"/>
        </w:rPr>
        <w:t>Company Overview —</w:t>
      </w:r>
      <w:r>
        <w:rPr>
          <w:rFonts w:ascii="Times New Roman" w:hAnsi="Times New Roman"/>
          <w:color w:val="000000"/>
          <w:sz w:val="20"/>
        </w:rPr>
        <w:t xml:space="preserve"> </w:t>
      </w:r>
      <w:r>
        <w:rPr>
          <w:rFonts w:ascii="Times New Roman" w:hAnsi="Times New Roman"/>
          <w:b/>
          <w:color w:val="000000"/>
          <w:sz w:val="20"/>
        </w:rPr>
        <w:t>Third Quarter</w:t>
      </w:r>
      <w:r>
        <w:rPr>
          <w:rFonts w:ascii="Times New Roman" w:hAnsi="Times New Roman"/>
          <w:color w:val="000000"/>
          <w:sz w:val="20"/>
        </w:rPr>
        <w:t xml:space="preserve"> </w:t>
      </w:r>
      <w:r>
        <w:rPr>
          <w:rFonts w:ascii="Times New Roman" w:hAnsi="Times New Roman"/>
          <w:b/>
          <w:color w:val="000000"/>
          <w:sz w:val="20"/>
        </w:rPr>
        <w:t>of</w:t>
      </w:r>
      <w:r>
        <w:rPr>
          <w:rFonts w:ascii="Times New Roman" w:hAnsi="Times New Roman"/>
          <w:color w:val="000000"/>
          <w:sz w:val="20"/>
        </w:rPr>
        <w:t xml:space="preserve"> </w:t>
      </w:r>
      <w:r>
        <w:rPr>
          <w:rFonts w:ascii="Times New Roman" w:hAnsi="Times New Roman"/>
          <w:b/>
          <w:color w:val="000000"/>
          <w:sz w:val="20"/>
        </w:rPr>
        <w:t>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should be read in conjunction with our Condensed Consolidated Financial Statements and the related Notes to those Financial Statements included elsewhere in this Quarterly Report on Form 10-Q. In addition, please see “Information Regarding Non-GAAP Financial Measures” below concerning important information on non-GAAP financial measures contained in our discussion and analysis.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for fiscal year 2024, in conjunction with the divestiture of certain businesses within our Services segment in the fourth quarter of 2023, we aligned our business from four to three segments, and we now report our financial results in the following three reportable segments: Retail, Programs (formerly National Programs) and Wholesale Brokerage. See Note 12 of the Notes to Condensed Consolidated Financial Statements for further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diversified insurance agency, wholesale brokerage and insurance programs organization headquartered in Daytona Beach, Florida. As an insurance intermediary, our principal sources of revenue are commissions paid by insurance companies and, to a lesser extent, fees paid directly by customers. Commission revenues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sales or payroll levels) to determine what premium to charge the insured. Insurance companies establish these premium rates based upon many factors, including loss experience, risk profile and reinsurance rates paid by such insurance companies, none of which we control. We also operate capitalized captive insurance facilities (the "Captives") for the purpose of having additional capacity to place coverage, drive additional revenues and to participate in underwriting results. The Captives focus on property insurance for earthquake and wind exposed properties underwritten by certain of our MGUs and limit the Company's exposure to claims expenses through reinsurance or by only participating in certain tranches of the underwriting.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volume of business from new and existing customers, fluctuations in insurable exposure units, changes in premium rate levels, changes in general economic and competitive conditions, a reduction of purchased limits, or the occurrence of catastrophic weather events all affect our revenues. For example, higher levels of inflation, an increase the value of insurable exposure units or a general decline in economic activity, could decrease the value or amount of insurable exposure units. Conversely, increasing costs of litigation settlements and/or awards could cause some customers to seek higher levels of insurance coverage. Historically, we have grown our revenues as a result of our focus on new business, customer retention and acquisitions. We foster a strong, decentralized sales and service culture, which enables responsiveness to changing business conditions and drives accountability for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“core commissions and fees” excludes profit-sharing contingent commissions, and therefore represents the revenues earned directly from specific insurance policies sold, and specific fee-based services rendered. The net change in core commissions and fees reflects the aggregate changes attributable to: (i) net new and lost accounts; (ii) net changes in our customers’ exposure units, deductibles or insured limits; (iii) net changes in insurance premium rates or the commission rate paid to us by our carrier partners; (iv) the net change in fees paid to us by our customers and (v) any businesses acquired or disposed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earn profit-sharing contingent commissions, which are commissions based primarily on underwriting results, but in select situations may reflect additional considerations for volume, growth and/or retention. These commissions, which are included in our commissions and fees in the Consolidated Statements of Income, are estimated and accrued throughout the year based on actual premiums written and knowledge, to the extent it is available, of losses incurred. Payments are primarily received in the first and second quarters of each subsequent year, based upon the aforementioned considerations for the prior year(s), but may differ from the amount estimated and accrued due to the lack of complete visibility regarding loss information until they are received. Over the last three years, profit-sharing contingent commissions have averaged approximately 3.3% of commissions and fees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 revenues primarily relate to services other than securing coverage for our customers, and for fees negotiated in lieu of commissions. Fee revenues are generated by: (i) our Programs and Wholesale Brokerage segments, which earn fees primarily for the issuance of insurance policies on behalf of insurance carriers and (ii) our Retail segment in our large-account customer base, where we primarily earn fees for securing insurance for our customers, in our automobile dealer services (“F&amp;I”) businesses where we earn fees for assisting our customers with creating and selling warranty and service risk management programs and fees for Medicare Set-aside services, Social Security disability services and Medicare benefits advocacy services. Fee revenues as a percentage of our total commissions and fees, were 23.9% in 2023 and 25.8% in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September 30, 2024, our total commissions and fees growth rate was 10.1%, and our consolidated Organic Revenue growth rate was 9.5%.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investment income has consisted primarily of interest earnings on operating cash and where permitted, on premiums collected and held in a fiduciary capacity before being remitted to insurance companies. Our policy as it relates to the Company’s capital is to invest available funds in high-quality, short-term money-market funds and fixed income investment securities. Investment income also includes gains and losses realized from the sale of investments. Other income primarily reflects other miscellaneous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for the three months ended September 30, 2024 increased from the third quarter of 2023 by $75 million or 31.0%, driven by Organic Revenue growth, leveraging our expense base, net new business, increased investment income, acquisitions completed in the past twelve months and the change in estimated acquisition earn-out payables.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Information Regarding 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discussion and analysis of our results of operations, in addition to reporting financial results in accordance with generally accepted accounting principles (“GAAP”), we provide references to the following non-GAAP financial measures as defined in Regulation G of the SEC rules: Organic Revenue, EBITDAC, EBITDAC Margin, EBITDAC - Adjusted and EBITDAC Margin - Adjusted. We present these measures because we believe such information is of interest to the investment community and because we believe it provides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the Company’s consolidated income statements and balance sheets as of the relevant date. Consistent with Regulation G, a description of such information is provided below and tabular reconciliations of this supplemental non-GAAP financial information to our most comparable GAAP information are contained in this Quarterly Report on Form 10-Q under “Results of Operations -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view Organic Revenue and Organic Revenue growth as important indicators when assessing and evaluating our performance on a consolidated basis and for each of our three segments, because they allow us to determine a comparable, but non-GAAP, measurement of revenue growth that is associated with the revenue sources that were a part of our business in both the current and prior year and that are expected to continue in the future.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and EBITDAC Margin - Adjusted as key performance metrics for our short-term and long-term incentive compensation plans for executive officers and other key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Beginning January 1, 2024, we no longer exclude Foreign Currency Translation from the calculation of EBITDAC - Adjusted and EBITDAC Margin - Adjusted. Prior periods are presented on the same basis so that the calculations of EBITDAC - Adjusted and EBITDAC Margin - Adjusted are comparable for both periods. We no longer exclude Foreign Currency Translation from the calculation of these earnings measures because fluctuations in Foreign Currency Translation affect both our revenues and expenses, largely offsetting each other. Therefore, excluding Foreign Currency Translation from these earnings measures provides no meaningful incremental value in evaluating our financial performance. </w:t>
      </w:r>
    </w:p>
    <w:p>
      <w:pPr>
        <w:pStyle w:val="TextBody"/>
        <w:bidi w:val="0"/>
        <w:jc w:val="both"/>
        <w:rPr>
          <w:rFonts w:ascii="Times New Roman" w:hAnsi="Times New Roman"/>
          <w:b/>
          <w:color w:val="000000"/>
          <w:sz w:val="20"/>
        </w:rPr>
      </w:pPr>
      <w:r>
        <w:rPr>
          <w:rFonts w:ascii="Times New Roman" w:hAnsi="Times New Roman"/>
          <w:b/>
          <w:color w:val="000000"/>
          <w:sz w:val="20"/>
        </w:rPr>
        <w:t>Non-GAAP Revenue Measures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Organic Revenue</w:t>
      </w:r>
      <w:r>
        <w:rPr>
          <w:color w:val="000000"/>
        </w:rPr>
        <w:t xml:space="preserve"> </w:t>
      </w:r>
      <w:r>
        <w:rPr>
          <w:rFonts w:ascii="Times New Roman" w:hAnsi="Times New Roman"/>
          <w:color w:val="000000"/>
          <w:sz w:val="20"/>
        </w:rPr>
        <w:t xml:space="preserve">is our core commissions and fees less: (i) the core commissions and fees earned for the first twelve months by newly acquired operations; (ii) divested business (core commissions and fees generated from offices, books of business or niches sold or terminated during the comparable period) and (iii) Foreign Currency Translation (as defined below). The term “core commissions and fees” excludes profit-sharing contingent commissions and therefore represents the revenues earned directly from specific insurance policies sold and specific fee-based services rendered. Organic Revenue can be expressed as a dollar amount or a percentage rate when describing Organic Revenue growth. </w:t>
      </w:r>
    </w:p>
    <w:p>
      <w:pPr>
        <w:pStyle w:val="TextBody"/>
        <w:bidi w:val="0"/>
        <w:jc w:val="both"/>
        <w:rPr>
          <w:rFonts w:ascii="Times New Roman" w:hAnsi="Times New Roman"/>
          <w:b/>
          <w:color w:val="000000"/>
          <w:sz w:val="20"/>
        </w:rPr>
      </w:pPr>
      <w:r>
        <w:rPr>
          <w:rFonts w:ascii="Times New Roman" w:hAnsi="Times New Roman"/>
          <w:b/>
          <w:color w:val="000000"/>
          <w:sz w:val="20"/>
        </w:rPr>
        <w:t>Non-GAAP Earnings Measures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EBITDAC</w:t>
      </w:r>
      <w:r>
        <w:rPr>
          <w:color w:val="000000"/>
        </w:rPr>
        <w:t xml:space="preserve"> </w:t>
      </w:r>
      <w:r>
        <w:rPr>
          <w:rFonts w:ascii="Times New Roman" w:hAnsi="Times New Roman"/>
          <w:color w:val="000000"/>
          <w:sz w:val="20"/>
        </w:rPr>
        <w:t>is defined as income before interest, income taxes, depreciation, amortization and the change in estimated acquisition earn-out payables.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EBITDAC Margin</w:t>
      </w:r>
      <w:r>
        <w:rPr>
          <w:color w:val="000000"/>
        </w:rPr>
        <w:t xml:space="preserve"> </w:t>
      </w:r>
      <w:r>
        <w:rPr>
          <w:rFonts w:ascii="Times New Roman" w:hAnsi="Times New Roman"/>
          <w:color w:val="000000"/>
          <w:sz w:val="20"/>
        </w:rPr>
        <w:t xml:space="preserve">is defined as EBITDAC divided by total revenues.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EBITDAC - Adjusted</w:t>
      </w:r>
      <w:r>
        <w:rPr>
          <w:color w:val="000000"/>
        </w:rPr>
        <w:t xml:space="preserve"> </w:t>
      </w:r>
      <w:r>
        <w:rPr>
          <w:rFonts w:ascii="Times New Roman" w:hAnsi="Times New Roman"/>
          <w:color w:val="000000"/>
          <w:sz w:val="20"/>
        </w:rPr>
        <w:t>is defined as EBITDAC, excluding (i) (gain)/loss on disposal, (ii) for 2022 and 2023, Acquisition/Integration Costs (as defined below) and (iii) for 2023, the 1Q23 Nonrecurring Cost (as defined below).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EBITDAC Margin - Adjusted</w:t>
      </w:r>
      <w:r>
        <w:rPr>
          <w:color w:val="000000"/>
        </w:rPr>
        <w:t xml:space="preserve"> </w:t>
      </w:r>
      <w:r>
        <w:rPr>
          <w:rFonts w:ascii="Times New Roman" w:hAnsi="Times New Roman"/>
          <w:color w:val="000000"/>
          <w:sz w:val="20"/>
        </w:rPr>
        <w:t>is defined as EBITDAC - Adjusted divided by total revenues.</w:t>
      </w:r>
    </w:p>
    <w:p>
      <w:pPr>
        <w:pStyle w:val="TextBody"/>
        <w:bidi w:val="0"/>
        <w:jc w:val="both"/>
        <w:rPr>
          <w:rFonts w:ascii="Times New Roman" w:hAnsi="Times New Roman"/>
          <w:sz w:val="20"/>
        </w:rPr>
      </w:pPr>
      <w:r>
        <w:rPr>
          <w:rFonts w:ascii="Times New Roman" w:hAnsi="Times New Roman"/>
          <w:b/>
          <w:color w:val="000000"/>
          <w:sz w:val="20"/>
        </w:rPr>
        <w:t>Definitions Related to Certain Components of Non-GAAP Measures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Acquisition/Integration Costs”</w:t>
      </w:r>
      <w:r>
        <w:rPr>
          <w:color w:val="000000"/>
        </w:rPr>
        <w:t xml:space="preserve"> </w:t>
      </w:r>
      <w:r>
        <w:rPr>
          <w:rFonts w:ascii="Times New Roman" w:hAnsi="Times New Roman"/>
          <w:color w:val="000000"/>
          <w:sz w:val="20"/>
        </w:rPr>
        <w:t xml:space="preserve">means the acquisition and integration costs (e.g., costs associated with regulatory filings, legal/accounting services, due diligence and the costs of integrating our information technology systems) arising out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acquisitions of GRP (Jersey) Holdco Limited and its business, Orchid Underwriters Agency and CrossCover Insurance Services, and BdB Limited companies, which are not considered to be normal, recurring or part of the ongoing operations.</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 xml:space="preserve">Foreign Currency Translation” </w:t>
      </w:r>
      <w:r>
        <w:rPr>
          <w:rFonts w:ascii="Times New Roman" w:hAnsi="Times New Roman"/>
          <w:color w:val="000000"/>
          <w:sz w:val="20"/>
        </w:rPr>
        <w:t>means the period-over period impact of foreign currency translation, which is calculated by applying current-year foreign exchange rates to the various functional currencies in our business to our reporting currency of U.S. dollars for the same period in the prior year.</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 xml:space="preserve">1Q23 Nonrecurring Cost” </w:t>
      </w:r>
      <w:r>
        <w:rPr>
          <w:rFonts w:ascii="Times New Roman" w:hAnsi="Times New Roman"/>
          <w:color w:val="000000"/>
          <w:sz w:val="20"/>
        </w:rPr>
        <w:t>means approximately $11.0 million expensed and substantially paid in the first quarter of 2023 to resolve a business matter, which is not considered to be normal, recurring or part of the ongoing operations.</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(Gain)/loss on disposal”</w:t>
      </w:r>
      <w:r>
        <w:rPr>
          <w:color w:val="000000"/>
        </w:rPr>
        <w:t xml:space="preserve"> </w:t>
      </w:r>
      <w:r>
        <w:rPr>
          <w:rFonts w:ascii="Times New Roman" w:hAnsi="Times New Roman"/>
          <w:color w:val="000000"/>
          <w:sz w:val="20"/>
        </w:rPr>
        <w:t>a caption on our consolidated statements of income which reflects net proceeds received as compared to net book value related to sales of books of business and other divestiture transactions, such as the disposal of a business through sale or closure.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Calibri;sans-serif" w:hAnsi="Calibri;sans-serif"/>
          <w:color w:val="000000"/>
          <w:sz w:val="20"/>
        </w:rPr>
        <w:t>'</w:t>
      </w:r>
      <w:r>
        <w:rPr>
          <w:rFonts w:ascii="Times New Roman" w:hAnsi="Times New Roman"/>
          <w:color w:val="000000"/>
          <w:sz w:val="20"/>
        </w:rPr>
        <w:t>s Condensed Consolidated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 of our business strategy is to attract high-quality insurance intermediaries and service organizations to join our operations. From 1993 through the third quarter of 2024, we acquired 664 insurance intermediary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had no changes to our Critical Accounting Policies as described in our most recent Form 10-K for the year ended December 31, 2023. We believe that of our significant accounting and reporting policies, the more critical policies include our accounting for revenue recognition, business combinations and purchase price allocations, intangible asset impairments, non-cash stock-based compensation and reserves for litigation. In particular, the accounting for these areas is subject to uncertainty because it requires significant use of judgment to be made by management. Different assumptions in the application of these policies could result in material changes in our consolidated financial position or consolidated results of operations. Refer to Note 1 in the “Notes to Consolidated Financial Statements” in our Annual Report on Form 10-K for the year ended December 31, 2023 for details regarding our critical and significant accounting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 FOR THE THREE AND NINE MONTHS ENDED SEPTEMBER 30,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and analysis regarding results of operations and liquidity and capital resources should be considered in conjunction with the accompanying Condensed Consolidated Financial Statements and related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relating to our condensed consolidated financial results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44"/>
        <w:gridCol w:w="146"/>
        <w:gridCol w:w="211"/>
        <w:gridCol w:w="571"/>
        <w:gridCol w:w="271"/>
        <w:gridCol w:w="146"/>
        <w:gridCol w:w="211"/>
        <w:gridCol w:w="571"/>
        <w:gridCol w:w="271"/>
        <w:gridCol w:w="146"/>
        <w:gridCol w:w="163"/>
        <w:gridCol w:w="708"/>
        <w:gridCol w:w="287"/>
        <w:gridCol w:w="146"/>
        <w:gridCol w:w="211"/>
        <w:gridCol w:w="676"/>
        <w:gridCol w:w="271"/>
        <w:gridCol w:w="146"/>
        <w:gridCol w:w="211"/>
        <w:gridCol w:w="676"/>
        <w:gridCol w:w="271"/>
        <w:gridCol w:w="146"/>
        <w:gridCol w:w="163"/>
        <w:gridCol w:w="708"/>
        <w:gridCol w:w="534"/>
      </w:tblGrid>
      <w:tr>
        <w:trPr/>
        <w:tc>
          <w:tcPr>
            <w:tcW w:w="2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3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4"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pPr>
            <w:r>
              <w:rPr/>
              <w:t> </w:t>
            </w:r>
          </w:p>
        </w:tc>
      </w:tr>
      <w:tr>
        <w:trPr/>
        <w:tc>
          <w:tcPr>
            <w:tcW w:w="23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5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color w:val="000000"/>
              </w:rPr>
            </w:pPr>
            <w:r>
              <w:rPr>
                <w:color w:val="000000"/>
              </w:rPr>
              <w:t>—</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5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5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3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5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pPr>
            <w:r>
              <w:rPr/>
              <w:t> </w:t>
            </w:r>
          </w:p>
        </w:tc>
      </w:tr>
      <w:tr>
        <w:trPr/>
        <w:tc>
          <w:tcPr>
            <w:tcW w:w="23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534" w:type="dxa"/>
            <w:tcBorders/>
            <w:shd w:fill="FFFFFF" w:val="clear"/>
            <w:vAlign w:val="center"/>
          </w:tcPr>
          <w:p>
            <w:pPr>
              <w:pStyle w:val="TableContents"/>
              <w:bidi w:val="0"/>
              <w:spacing w:before="0" w:after="283"/>
              <w:jc w:val="right"/>
              <w:rPr/>
            </w:pPr>
            <w:r>
              <w:rPr/>
              <w:t> </w:t>
            </w:r>
          </w:p>
        </w:tc>
      </w:tr>
      <w:tr>
        <w:trPr/>
        <w:tc>
          <w:tcPr>
            <w:tcW w:w="2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53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5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5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non-controlling interests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pPr>
            <w:r>
              <w:rPr/>
              <w:t> </w:t>
            </w:r>
          </w:p>
        </w:tc>
      </w:tr>
      <w:tr>
        <w:trPr/>
        <w:tc>
          <w:tcPr>
            <w:tcW w:w="2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pPr>
            <w:r>
              <w:rPr/>
              <w:t> </w:t>
            </w:r>
          </w:p>
        </w:tc>
      </w:tr>
      <w:tr>
        <w:trPr/>
        <w:tc>
          <w:tcPr>
            <w:tcW w:w="234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the Company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5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w:t>
              <w:br/>
              <w:t xml:space="preserve">   Margin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pPr>
            <w:r>
              <w:rPr/>
              <w:t> </w:t>
            </w:r>
          </w:p>
        </w:tc>
      </w:tr>
      <w:tr>
        <w:trPr/>
        <w:tc>
          <w:tcPr>
            <w:tcW w:w="23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5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pPr>
            <w:r>
              <w:rPr/>
              <w:t> </w:t>
            </w:r>
          </w:p>
        </w:tc>
      </w:tr>
      <w:tr>
        <w:trPr/>
        <w:tc>
          <w:tcPr>
            <w:tcW w:w="23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28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pPr>
            <w:r>
              <w:rPr/>
              <w:t> </w:t>
            </w:r>
          </w:p>
        </w:tc>
      </w:tr>
      <w:tr>
        <w:trPr/>
        <w:tc>
          <w:tcPr>
            <w:tcW w:w="2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br/>
              <w:t>   relative to 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pPr>
            <w:r>
              <w:rPr/>
              <w:t> </w:t>
            </w:r>
          </w:p>
        </w:tc>
      </w:tr>
      <w:tr>
        <w:trPr/>
        <w:tc>
          <w:tcPr>
            <w:tcW w:w="23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w:t>
              <w:br/>
              <w:t>   to 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28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pPr>
            <w:r>
              <w:rPr/>
              <w:t> </w:t>
            </w:r>
          </w:p>
        </w:tc>
      </w:tr>
      <w:tr>
        <w:trPr/>
        <w:tc>
          <w:tcPr>
            <w:tcW w:w="2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5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September 30,</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28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5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spacing w:before="12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Commissions and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Commissions and fees, including profit-sharing contingent commissions and earned premiums, for the three months ended September 30, 2024 increased $106 million to $1,155 million, or 10.1%, over the same period in 2023. Core commissions and fees revenue for the third quarter of 2024 increased $106 million or 10.4%, composed of: (i) approximately $95 million of net new and renewal business, which reflects an Organic Revenue growth rate of 9.5%; (ii) $35 million from acquisitions that had no comparable revenues in the same period of 2023; (iii) an increase from the impact of Foreign Currency Translation of $2 million and (iv) an offsetting decrease of $26 million related to commissions and fees revenue from businesses or books of business divested in the preceding twelve months. Profit-sharing contingent commissions for the third quarter of 2024 were flat when compared to the same period in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Commissions and fees, including profit-sharing contingent commissions and earned premiums, for the nine months ended September 30, 2024, increased $352 million to $3,545 million, or 11.0%, over the same period in 2023. Core commissions and fees revenue for the nine months ended September 30, 2024 increased $330 million or 10.6%, composed of: (i) approximately $284 million of net new and renewal business, which reflects an Organic Revenue growth rate of 9.4%; (ii) $120 million from acquisitions that had no comparable revenues in the same period of 2023; (iii) an increase from the impact of Foreign Currency Translation of $7 million and (iv) an offsetting decrease of $81 million related to commissions and fees revenue from businesses or books of business divested in the preceding twelve months. Profit-sharing contingent commissions for the nine months ended September 30, 2024 increased by $22 million, or 25.0%, compared to the same period in 2023. This increase was driven primarily by (i) improved underwriting results and qualifying for certain profit-sharing contingent commissions that we did not qualify for in the prior year and (ii) recent acquisitions.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Investment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income for the three months ended September 30, 2024 increased $14 million from the same period in 2023. Investment income for the nine months ended September 30, 2024 increased $37 million, from the same period in 2023. The increases were primarily driven by higher average interest rates and cash balances compared to the prior year.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for the three months ended September 30, 2024 decreased $2 million from the same period in 2023, and other income for the nine months ended September 30, 2024 increased by $2 million, or 50.0%, as compared to the same period in 2023. Other income consists primarily of miscellaneous income and therefore can fluctuate between comparable periods.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Employee 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compensation and benefits expense as a percentage of total revenues was 51.2% for the three months ended September 30, 2024 as compared to 49.8% for the three months ended September 30, 2023, an increase of 14.1%, or $75 million. This increase included $20 million of compensation costs related to stand-alone acquisitions that had no comparable costs in the same period of 2023. Therefore, employee compensation and benefits expense attributable to those offices that existed in the same time periods of 2024 and 2023 increased by $55 million, or 10.6%. This underlying employee compensation and benefits expense increase was primarily related to: (i) an increase in staff costs attributable to new hires; (ii) an increase in producer compensation associated with revenue growth; (iii) an increase in non-cash stock-based compensation driven by the strong financial performance of the Company and (iv) the year-over-year increase of approximately $18 million in the value of deferred compensation liabilities driven by changes in the market prices of our deferred compensation plan, with such amount substantially offset within other operating expenses as we hold assets to fund these liabilities, partially offset by (v) employee compensation and benefits associated with businesses divested in the fourth quarter of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compensation and benefits expense as a percentage of total revenues was 50.3% for the nine months ended September 30, 2024 as compared to 50.5% for the nine months ended September 30, 2023, and increased 11.6%, or $190 million. This increase included $55 million of compensation costs related to stand-alone acquisitions that had no comparable costs in the same period of 2023. Therefore, employee compensation and benefits expense attributable to those offices that existed in the same time periods of 2024 and 2023 increased by $135 million, or 8.3%. This underlying employee compensation and benefits expense increase was primarily related to: (i) an increase in staff costs attributable to new hires; (ii) an increase in producer compensation associated with revenue growth; (iii) an increase in non-cash stock-based compensation driven by the strong financial performance of the Company and (iv) the year-over-year increase of approximately $19 million in the value of deferred compensation liabilities driven by changes in the market prices of our deferred compensation plan, with such amount substantially offset within other operating expenses as we hold assets to fund these liabilities, partially offset by (v) employee compensation and benefits associated with businesses divested in the fourth quarter of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operating expenses represented 13.9% of total revenues for the third quarter of 2024, as compared to 15.7% for the third quarter of 2023. Other operating expenses for the third quarter of 2024 decreased $3 million, or 1.8%, from the same period of 2023. This change includes: (i) the year-over-year decrease of approximately $18 million in the value of assets held to fund the associated liabilities within our deferred compensation plan, which was substantially offset within employee compensation and benefits, as noted above and (ii) other operating expenses associated with businesses divested in the fourth quarter of 2023, offset by (iii) $8 million of other operating expenses related to stand-alone acquisitions that had no comparable costs in the same period of 2023; (iv) increased information technology related costs; (v) and to a lesser extent, increased variable costs associated with revenue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operating expenses represented 13.8% of total revenues for the nine months ended September 30, 2024, as compared to 15.2% for the nine months ended September 30, 2023. Other operating expenses for the first nine months of 2024 increased $9 million, or 1.8%, from the same period of 2023. This change includes: (i) $24 million of other operating expenses related to stand-alone acquisitions that had no comparable costs in the same period of 2023; (ii) increased information technology related costs; (iii) and to a lesser extent, increased variable costs associated with revenue growth, offset by (iv) the 1Q23 Nonrecurring Cost (v) other operating expenses associated with businesses divested in the fourth quarter of 2023 and (vi) the year-over-year decrease of approximately $19 million in the value of assets held to fund the associated liabilities within our deferred compensation plan, which was substantially offset within employee compensation and benefits, as noted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(Gain)/Loss on Disposal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on disposal for the third quarter of 2024 decreased $2 million from the third quarter of 2023. Gain on disposal for the nine months ended September 30, 2024 increased $21 million from the nine months ended September 30, 2023. Activity for (Gain)/Loss on disposal for the nine months ended September 30, 2024 was primarily attributable to finalization of the gain associated with selling certain third-party claims administration and adjusting services businesses in the fourth quarter of 2023. Although we do not routinely sell businesses or customer accounts, we periodically sell an office or a book of business (one or more customer accounts) that we believe does not produce reasonable margins or demonstrate a potential for adequate growth, or because doing so is in the Company’s best interest.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for the third quarter of 2024 increased $4 million, or 9.8%, compared to the third quarter of 2023. Amortization expense for the nine months ended September 30, 2024 increased $8 million, or 6.5%, compared to the nine months ended September 30, 2023. This change reflects the amortization of new intangibles from businesses acquired within the past twelve months, net of certain intangible assets becoming fully amortized or written off in the (Gain)/Loss on disposal.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Depreciation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for the third quarter of 2024 increased $1 million, or 10.0%, compared to the third quarter of 2023. Depreciation expense for the nine months ended September 30, 2024 increased $3 million, or 10.0%, compared to the nine months ended September 30, 2023. Changes in depreciation expense reflect net additions of fixed assets resulting from businesses acquired in the past twelve months and the addition of fixed assets resulting from business initiatives, partially offset by the impact of fixed assets that became fully depreciated or written off in the gain or loss on disposal.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third quarter of 2024 increased $2 million, or 4.2%, compared to the third quarter of 2023. Interest expense for the nine months ended September 30, 2024 increased $4 million, or 2.8%, compared to the first nine months of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 in Estimated Acquisition Earn-Out Payables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Standards Codification (“ASC”) Topic 805 - Business Combinations is the authoritative guidance requiring an acquirer to recognize 100% of the fair value of acquired assets, including goodwill, and assumed liabilities (with only limited exceptions) upon initially obtaining control of an acquired entity. Additionally, the fair value of contingent consideration arrangements (such as earn-out purchase price arrangements) at the acquisition date must be included in the purchase price consideration. The recorded purchase price for acquisitions includes an estimation of the fair value of liabilities associated with any potential earn-out provisions. Subsequent changes in these earn-out obligations are required to be recorded in the Condensed Consolidated Statements of Income when incurred or reasonably estimated. Estimations of potential earn-out obligations are typically based upon future earnings of the acquired operations or entities, usually for periods ranging from one to three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charge or credit to the Consolidated Statements of Income for the period is the combination of the net change in the estimated acquisition earn-out payables liability, and the accretion of the present value discount on those liabilities.</w:t>
      </w:r>
    </w:p>
    <w:p>
      <w:pPr>
        <w:pStyle w:val="TextBody"/>
        <w:bidi w:val="0"/>
        <w:spacing w:before="120" w:after="283"/>
        <w:jc w:val="left"/>
        <w:rPr>
          <w:rFonts w:ascii="Times New Roman" w:hAnsi="Times New Roman"/>
          <w:sz w:val="20"/>
        </w:rPr>
      </w:pPr>
      <w:r>
        <w:rPr>
          <w:rFonts w:ascii="Times New Roman" w:hAnsi="Times New Roman"/>
          <w:color w:val="000000"/>
          <w:sz w:val="20"/>
        </w:rPr>
        <w:t>As of September 30, 2024 and 2023, the fair values of the estimated acquisition earn-out payables were re-evaluated based upon projected operating results and measured at fair value on a recurring basis using unobservable inputs (Level 3) as defined in ASC 820-</w:t>
      </w:r>
      <w:r>
        <w:rPr>
          <w:rFonts w:ascii="Times New Roman" w:hAnsi="Times New Roman"/>
          <w:i/>
          <w:color w:val="000000"/>
          <w:sz w:val="20"/>
        </w:rPr>
        <w:t>Fair Value Measurement</w:t>
      </w:r>
      <w:r>
        <w:rPr>
          <w:rFonts w:ascii="Times New Roman" w:hAnsi="Times New Roman"/>
          <w:color w:val="000000"/>
          <w:sz w:val="20"/>
        </w:rPr>
        <w:t>. The resulting net changes, as well as the interest expense accretion on the estimated acquisition earn-out payables were as follows:</w:t>
      </w:r>
    </w:p>
    <w:tbl>
      <w:tblPr>
        <w:tblW w:w="10205" w:type="dxa"/>
        <w:jc w:val="left"/>
        <w:tblInd w:w="0" w:type="dxa"/>
        <w:tblLayout w:type="fixed"/>
        <w:tblCellMar>
          <w:top w:w="28" w:type="dxa"/>
          <w:left w:w="28" w:type="dxa"/>
          <w:bottom w:w="28" w:type="dxa"/>
          <w:right w:w="28" w:type="dxa"/>
        </w:tblCellMar>
      </w:tblPr>
      <w:tblGrid>
        <w:gridCol w:w="4770"/>
        <w:gridCol w:w="146"/>
        <w:gridCol w:w="371"/>
        <w:gridCol w:w="476"/>
        <w:gridCol w:w="291"/>
        <w:gridCol w:w="256"/>
        <w:gridCol w:w="371"/>
        <w:gridCol w:w="556"/>
        <w:gridCol w:w="146"/>
        <w:gridCol w:w="146"/>
        <w:gridCol w:w="337"/>
        <w:gridCol w:w="601"/>
        <w:gridCol w:w="265"/>
        <w:gridCol w:w="233"/>
        <w:gridCol w:w="337"/>
        <w:gridCol w:w="505"/>
        <w:gridCol w:w="398"/>
      </w:tblGrid>
      <w:tr>
        <w:trPr/>
        <w:tc>
          <w:tcPr>
            <w:tcW w:w="4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77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0"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estimated acquisition earn-out payables</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8" w:type="dxa"/>
            <w:tcBorders/>
            <w:shd w:fill="CFF0FC" w:val="clear"/>
            <w:vAlign w:val="center"/>
          </w:tcPr>
          <w:p>
            <w:pPr>
              <w:pStyle w:val="TableContents"/>
              <w:bidi w:val="0"/>
              <w:spacing w:before="0" w:after="283"/>
              <w:jc w:val="left"/>
              <w:rPr/>
            </w:pPr>
            <w:r>
              <w:rPr/>
              <w:t> </w:t>
            </w:r>
          </w:p>
        </w:tc>
      </w:tr>
      <w:tr>
        <w:trPr/>
        <w:tc>
          <w:tcPr>
            <w:tcW w:w="47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accretion</w:t>
            </w:r>
          </w:p>
        </w:tc>
        <w:tc>
          <w:tcPr>
            <w:tcW w:w="146" w:type="dxa"/>
            <w:tcBorders/>
            <w:shd w:fill="FFFFFF" w:val="cle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righ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righ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change in earnings from estimated acquisition earn-out payables</w:t>
            </w:r>
          </w:p>
        </w:tc>
        <w:tc>
          <w:tcPr>
            <w:tcW w:w="146" w:type="dxa"/>
            <w:tcBorders/>
            <w:shd w:fill="CFF0FC" w:val="cle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6" w:type="dxa"/>
            <w:tcBorders/>
            <w:shd w:fill="CFF0FC" w:val="cle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and nine months ended September 30, 2024, the fair value of estimated earn-out payables was re-evaluated and resulted in decreases of $9 million and $15 million, respectively, which resulted in credits to the Condensed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estimated acquisition earn-out payables totaled $137 million, of which $73 million was recorded as accounts payable and $64 million was recorded as other non-current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on income from operations for the three months ended September 30, 2024 and 2023 was 24.6% and 27.3%, respectively. The decrease in the effective tax rate for the quarter was primarily impacted by the change in the market value of Company-owned life insurance associated with our deferred compensation plan and certain prior year nonrecurring items. The effective tax rate on income from operations for the nine months ended September 30, 2024 and 2023 was 23.1% and 23.9%,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 —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12 to the Condensed Consolidated Financial Statements, we operate three reportable segments: Retail, Programs and Wholesale Brokerage. On a segmented basis, changes in amortization, depreciation and interest expenses generally result from activity associated with acquisitions. Likewise, other income consists primarily of miscellaneous income and therefore can fluctuate between comparable periods. As such, management primarily focuses on the Organic Revenue growth rate and EBITDAC Margin when evaluating the operational efficiency of a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commissions and fees included in the Condensed Consolidated Statements of Income to Organic Revenue, a non-GAAP financial measure, for the three months ended September 30, 2024 and 2023, and the growth rates for Organic Revenue for the three months ended September 30, 2024, including by segment, are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252"/>
        <w:gridCol w:w="146"/>
        <w:gridCol w:w="196"/>
        <w:gridCol w:w="376"/>
        <w:gridCol w:w="256"/>
        <w:gridCol w:w="146"/>
        <w:gridCol w:w="196"/>
        <w:gridCol w:w="376"/>
        <w:gridCol w:w="166"/>
        <w:gridCol w:w="146"/>
        <w:gridCol w:w="196"/>
        <w:gridCol w:w="421"/>
        <w:gridCol w:w="256"/>
        <w:gridCol w:w="146"/>
        <w:gridCol w:w="196"/>
        <w:gridCol w:w="376"/>
        <w:gridCol w:w="166"/>
        <w:gridCol w:w="146"/>
        <w:gridCol w:w="210"/>
        <w:gridCol w:w="451"/>
        <w:gridCol w:w="274"/>
        <w:gridCol w:w="156"/>
        <w:gridCol w:w="210"/>
        <w:gridCol w:w="403"/>
        <w:gridCol w:w="166"/>
        <w:gridCol w:w="146"/>
        <w:gridCol w:w="196"/>
        <w:gridCol w:w="511"/>
        <w:gridCol w:w="256"/>
        <w:gridCol w:w="146"/>
        <w:gridCol w:w="196"/>
        <w:gridCol w:w="511"/>
        <w:gridCol w:w="214"/>
      </w:tblGrid>
      <w:tr>
        <w:trPr/>
        <w:tc>
          <w:tcPr>
            <w:tcW w:w="2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252" w:type="dxa"/>
            <w:tcBorders/>
            <w:shd w:fill="FFFFFF" w:val="cle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2024</w:t>
            </w:r>
          </w:p>
        </w:tc>
        <w:tc>
          <w:tcPr>
            <w:tcW w:w="146" w:type="dxa"/>
            <w:tcBorders/>
            <w:shd w:fill="FFFFFF" w:val="clear"/>
            <w:vAlign w:val="center"/>
          </w:tcPr>
          <w:p>
            <w:pPr>
              <w:pStyle w:val="TableContents"/>
              <w:bidi w:val="0"/>
              <w:spacing w:before="0" w:after="283"/>
              <w:jc w:val="left"/>
              <w:rPr/>
            </w:pPr>
            <w:r>
              <w:rPr/>
              <w:t> </w:t>
            </w:r>
          </w:p>
        </w:tc>
        <w:tc>
          <w:tcPr>
            <w:tcW w:w="1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Retail </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Programs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Wholesale Brokerage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2"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Commissions and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274"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w:t>
            </w:r>
          </w:p>
        </w:tc>
        <w:tc>
          <w:tcPr>
            <w:tcW w:w="214" w:type="dxa"/>
            <w:tcBorders/>
            <w:shd w:fill="CFF0FC" w:val="clear"/>
            <w:vAlign w:val="center"/>
          </w:tcPr>
          <w:p>
            <w:pPr>
              <w:pStyle w:val="TableContents"/>
              <w:bidi w:val="0"/>
              <w:spacing w:before="0" w:after="283"/>
              <w:jc w:val="left"/>
              <w:rPr/>
            </w:pPr>
            <w:r>
              <w:rPr/>
              <w:t> </w:t>
            </w:r>
          </w:p>
        </w:tc>
      </w:tr>
      <w:tr>
        <w:trPr/>
        <w:tc>
          <w:tcPr>
            <w:tcW w:w="225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change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1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225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growth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27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vAlign w:val="center"/>
          </w:tcPr>
          <w:p>
            <w:pPr>
              <w:pStyle w:val="TableContents"/>
              <w:bidi w:val="0"/>
              <w:spacing w:before="0" w:after="283"/>
              <w:jc w:val="left"/>
              <w:rPr/>
            </w:pPr>
            <w:r>
              <w:rPr/>
              <w:t> </w:t>
            </w:r>
          </w:p>
        </w:tc>
        <w:tc>
          <w:tcPr>
            <w:tcW w:w="613"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225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Profit-sharing contingent</w:t>
              <w:br/>
              <w:t>   commissions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5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commissions and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274"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w:t>
            </w:r>
          </w:p>
        </w:tc>
        <w:tc>
          <w:tcPr>
            <w:tcW w:w="214" w:type="dxa"/>
            <w:tcBorders/>
            <w:shd w:fill="CFF0FC" w:val="clear"/>
            <w:vAlign w:val="center"/>
          </w:tcPr>
          <w:p>
            <w:pPr>
              <w:pStyle w:val="TableContents"/>
              <w:bidi w:val="0"/>
              <w:spacing w:before="0" w:after="283"/>
              <w:jc w:val="left"/>
              <w:rPr/>
            </w:pPr>
            <w:r>
              <w:rPr/>
              <w:t> </w:t>
            </w:r>
          </w:p>
        </w:tc>
      </w:tr>
      <w:tr>
        <w:trPr/>
        <w:tc>
          <w:tcPr>
            <w:tcW w:w="225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7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25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Dispositions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color w:val="000000"/>
              </w:rPr>
            </w:pPr>
            <w:r>
              <w:rPr>
                <w:color w:val="000000"/>
              </w:rPr>
              <w:t>—</w:t>
            </w:r>
          </w:p>
        </w:tc>
        <w:tc>
          <w:tcPr>
            <w:tcW w:w="274"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5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2"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t>
            </w:r>
            <w:r>
              <w:rPr>
                <w:rFonts w:ascii="Times New Roman" w:hAnsi="Times New Roman"/>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274"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w:t>
            </w:r>
          </w:p>
        </w:tc>
        <w:tc>
          <w:tcPr>
            <w:tcW w:w="214" w:type="dxa"/>
            <w:tcBorders/>
            <w:shd w:fill="CFF0FC" w:val="clear"/>
            <w:vAlign w:val="center"/>
          </w:tcPr>
          <w:p>
            <w:pPr>
              <w:pStyle w:val="TableContents"/>
              <w:bidi w:val="0"/>
              <w:spacing w:before="0" w:after="283"/>
              <w:jc w:val="left"/>
              <w:rPr/>
            </w:pPr>
            <w:r>
              <w:rPr/>
              <w:t> </w:t>
            </w:r>
          </w:p>
        </w:tc>
      </w:tr>
      <w:tr>
        <w:trPr/>
        <w:tc>
          <w:tcPr>
            <w:tcW w:w="2252"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w:t>
            </w: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1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2252"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rate </w:t>
            </w:r>
            <w:r>
              <w:rPr>
                <w:rFonts w:ascii="Times New Roman" w:hAnsi="Times New Roman"/>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7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vAlign w:val="center"/>
          </w:tcPr>
          <w:p>
            <w:pPr>
              <w:pStyle w:val="TableContents"/>
              <w:bidi w:val="0"/>
              <w:spacing w:before="0" w:after="283"/>
              <w:jc w:val="left"/>
              <w:rPr/>
            </w:pPr>
            <w:r>
              <w:rPr/>
              <w:t> </w:t>
            </w:r>
          </w:p>
        </w:tc>
        <w:tc>
          <w:tcPr>
            <w:tcW w:w="61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Retail segment includes commissions and fees reported in the “Other” column of the Segment Information in Note 12 of this 10-Q of the Notes to the Condensed Consolidated Financial Statements, which includes corporate and consolidation items.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reconciliation of commissions and fees included in the Condensed Consolidated Statements of Income to Organic Revenue, a non-GAAP financial measure, for the three months ended September 30, 2023 and 2022, including by segment, and the growth rates for Organic Revenue for the three months ended September 30, 2023, including by segment,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4"/>
        <w:gridCol w:w="146"/>
        <w:gridCol w:w="196"/>
        <w:gridCol w:w="421"/>
        <w:gridCol w:w="256"/>
        <w:gridCol w:w="146"/>
        <w:gridCol w:w="196"/>
        <w:gridCol w:w="376"/>
        <w:gridCol w:w="166"/>
        <w:gridCol w:w="146"/>
        <w:gridCol w:w="196"/>
        <w:gridCol w:w="421"/>
        <w:gridCol w:w="256"/>
        <w:gridCol w:w="146"/>
        <w:gridCol w:w="196"/>
        <w:gridCol w:w="376"/>
        <w:gridCol w:w="166"/>
        <w:gridCol w:w="146"/>
        <w:gridCol w:w="211"/>
        <w:gridCol w:w="454"/>
        <w:gridCol w:w="275"/>
        <w:gridCol w:w="157"/>
        <w:gridCol w:w="211"/>
        <w:gridCol w:w="405"/>
        <w:gridCol w:w="166"/>
        <w:gridCol w:w="146"/>
        <w:gridCol w:w="196"/>
        <w:gridCol w:w="511"/>
        <w:gridCol w:w="256"/>
        <w:gridCol w:w="146"/>
        <w:gridCol w:w="196"/>
        <w:gridCol w:w="376"/>
        <w:gridCol w:w="213"/>
      </w:tblGrid>
      <w:tr>
        <w:trPr/>
        <w:tc>
          <w:tcPr>
            <w:tcW w:w="2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34" w:type="dxa"/>
            <w:tcBorders/>
            <w:shd w:fill="FFFFFF" w:val="cle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2023</w:t>
            </w:r>
          </w:p>
        </w:tc>
        <w:tc>
          <w:tcPr>
            <w:tcW w:w="146" w:type="dxa"/>
            <w:tcBorders/>
            <w:shd w:fill="FFFFFF" w:val="clear"/>
            <w:vAlign w:val="center"/>
          </w:tcPr>
          <w:p>
            <w:pPr>
              <w:pStyle w:val="TableContents"/>
              <w:bidi w:val="0"/>
              <w:spacing w:before="0" w:after="283"/>
              <w:jc w:val="left"/>
              <w:rPr/>
            </w:pPr>
            <w:r>
              <w:rPr/>
              <w:t> </w:t>
            </w:r>
          </w:p>
        </w:tc>
        <w:tc>
          <w:tcPr>
            <w:tcW w:w="1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Retail</w:t>
            </w:r>
            <w:r>
              <w:rPr>
                <w:rFonts w:ascii="Times New Roman" w:hAnsi="Times New Roman"/>
                <w:color w:val="000000"/>
                <w:sz w:val="18"/>
              </w:rPr>
              <w:t xml:space="preserve"> </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Programs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Wholesale Brokerage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4"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Commissions and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275"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213" w:type="dxa"/>
            <w:tcBorders/>
            <w:shd w:fill="CFF0FC" w:val="clear"/>
            <w:vAlign w:val="center"/>
          </w:tcPr>
          <w:p>
            <w:pPr>
              <w:pStyle w:val="TableContents"/>
              <w:bidi w:val="0"/>
              <w:spacing w:before="0" w:after="283"/>
              <w:jc w:val="left"/>
              <w:rPr/>
            </w:pPr>
            <w:r>
              <w:rPr/>
              <w:t> </w:t>
            </w:r>
          </w:p>
        </w:tc>
      </w:tr>
      <w:tr>
        <w:trPr/>
        <w:tc>
          <w:tcPr>
            <w:tcW w:w="233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change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3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growth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5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27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vAlign w:val="center"/>
          </w:tcPr>
          <w:p>
            <w:pPr>
              <w:pStyle w:val="TableContents"/>
              <w:bidi w:val="0"/>
              <w:spacing w:before="0" w:after="283"/>
              <w:jc w:val="left"/>
              <w:rPr/>
            </w:pPr>
            <w:r>
              <w:rPr/>
              <w:t> </w:t>
            </w:r>
          </w:p>
        </w:tc>
        <w:tc>
          <w:tcPr>
            <w:tcW w:w="61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right"/>
              <w:rPr/>
            </w:pPr>
            <w:r>
              <w:rPr/>
              <w:t> </w:t>
            </w:r>
          </w:p>
        </w:tc>
      </w:tr>
      <w:tr>
        <w:trPr/>
        <w:tc>
          <w:tcPr>
            <w:tcW w:w="233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Profit-sharing contingent</w:t>
              <w:br/>
              <w:t>   commissions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commissions and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75"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w:t>
            </w:r>
          </w:p>
        </w:tc>
        <w:tc>
          <w:tcPr>
            <w:tcW w:w="213" w:type="dxa"/>
            <w:tcBorders/>
            <w:shd w:fill="CFF0FC" w:val="clear"/>
            <w:vAlign w:val="center"/>
          </w:tcPr>
          <w:p>
            <w:pPr>
              <w:pStyle w:val="TableContents"/>
              <w:bidi w:val="0"/>
              <w:spacing w:before="0" w:after="283"/>
              <w:jc w:val="left"/>
              <w:rPr/>
            </w:pPr>
            <w:r>
              <w:rPr/>
              <w:t> </w:t>
            </w:r>
          </w:p>
        </w:tc>
      </w:tr>
      <w:tr>
        <w:trPr/>
        <w:tc>
          <w:tcPr>
            <w:tcW w:w="233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revenues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7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3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Dispositions</w:t>
            </w:r>
          </w:p>
        </w:tc>
        <w:tc>
          <w:tcPr>
            <w:tcW w:w="146" w:type="dxa"/>
            <w:tcBorders/>
            <w:shd w:fill="CFF0FC" w:val="clear"/>
            <w:vAlign w:val="center"/>
          </w:tcPr>
          <w:p>
            <w:pPr>
              <w:pStyle w:val="TableContents"/>
              <w:bidi w:val="0"/>
              <w:spacing w:before="0" w:after="283"/>
              <w:jc w:val="left"/>
              <w:rPr/>
            </w:pPr>
            <w:r>
              <w:rPr/>
              <w:t> </w:t>
            </w:r>
          </w:p>
        </w:tc>
        <w:tc>
          <w:tcPr>
            <w:tcW w:w="617"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54" w:type="dxa"/>
            <w:tcBorders/>
            <w:shd w:fill="CFF0FC" w:val="clear"/>
            <w:vAlign w:val="center"/>
          </w:tcPr>
          <w:p>
            <w:pPr>
              <w:pStyle w:val="TableContents"/>
              <w:bidi w:val="0"/>
              <w:spacing w:before="0" w:after="283"/>
              <w:jc w:val="right"/>
              <w:rPr>
                <w:color w:val="000000"/>
              </w:rPr>
            </w:pPr>
            <w:r>
              <w:rPr>
                <w:color w:val="000000"/>
              </w:rPr>
              <w:t>—</w:t>
            </w:r>
          </w:p>
        </w:tc>
        <w:tc>
          <w:tcPr>
            <w:tcW w:w="275"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4"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t>
            </w:r>
            <w:r>
              <w:rPr>
                <w:rFonts w:ascii="Times New Roman" w:hAnsi="Times New Roman"/>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275"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w:t>
            </w:r>
          </w:p>
        </w:tc>
        <w:tc>
          <w:tcPr>
            <w:tcW w:w="213" w:type="dxa"/>
            <w:tcBorders/>
            <w:shd w:fill="CFF0FC" w:val="clear"/>
            <w:vAlign w:val="center"/>
          </w:tcPr>
          <w:p>
            <w:pPr>
              <w:pStyle w:val="TableContents"/>
              <w:bidi w:val="0"/>
              <w:spacing w:before="0" w:after="283"/>
              <w:jc w:val="left"/>
              <w:rPr/>
            </w:pPr>
            <w:r>
              <w:rPr/>
              <w:t> </w:t>
            </w:r>
          </w:p>
        </w:tc>
      </w:tr>
      <w:tr>
        <w:trPr/>
        <w:tc>
          <w:tcPr>
            <w:tcW w:w="2334"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w:t>
            </w: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334"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rate </w:t>
            </w:r>
            <w:r>
              <w:rPr>
                <w:rFonts w:ascii="Times New Roman" w:hAnsi="Times New Roman"/>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5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27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vAlign w:val="center"/>
          </w:tcPr>
          <w:p>
            <w:pPr>
              <w:pStyle w:val="TableContents"/>
              <w:bidi w:val="0"/>
              <w:spacing w:before="0" w:after="283"/>
              <w:jc w:val="left"/>
              <w:rPr/>
            </w:pPr>
            <w:r>
              <w:rPr/>
              <w:t> </w:t>
            </w:r>
          </w:p>
        </w:tc>
        <w:tc>
          <w:tcPr>
            <w:tcW w:w="6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Retail segment includes commissions and fees reported in the “Other” column of the Segment Information in Note 12 of the Notes to the Condensed Consolidated Financial Statements, which includes corporate and consolidation items.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reconciliation of commissions and fees included in the Condensed Consolidated Statements of Income to Organic Revenue, a non-GAAP financial measure, for the nine months ended September 30, 2024 and 2023, including by segment, and the growth rates for Organic Revenue for the nine months ended September 30, 2024, including by segment,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1"/>
        <w:gridCol w:w="146"/>
        <w:gridCol w:w="196"/>
        <w:gridCol w:w="511"/>
        <w:gridCol w:w="256"/>
        <w:gridCol w:w="146"/>
        <w:gridCol w:w="196"/>
        <w:gridCol w:w="511"/>
        <w:gridCol w:w="166"/>
        <w:gridCol w:w="146"/>
        <w:gridCol w:w="196"/>
        <w:gridCol w:w="421"/>
        <w:gridCol w:w="256"/>
        <w:gridCol w:w="146"/>
        <w:gridCol w:w="196"/>
        <w:gridCol w:w="376"/>
        <w:gridCol w:w="166"/>
        <w:gridCol w:w="146"/>
        <w:gridCol w:w="207"/>
        <w:gridCol w:w="446"/>
        <w:gridCol w:w="271"/>
        <w:gridCol w:w="154"/>
        <w:gridCol w:w="207"/>
        <w:gridCol w:w="398"/>
        <w:gridCol w:w="166"/>
        <w:gridCol w:w="146"/>
        <w:gridCol w:w="196"/>
        <w:gridCol w:w="511"/>
        <w:gridCol w:w="256"/>
        <w:gridCol w:w="146"/>
        <w:gridCol w:w="196"/>
        <w:gridCol w:w="511"/>
        <w:gridCol w:w="216"/>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2024</w:t>
            </w:r>
          </w:p>
        </w:tc>
        <w:tc>
          <w:tcPr>
            <w:tcW w:w="146" w:type="dxa"/>
            <w:tcBorders/>
            <w:shd w:fill="FFFFFF" w:val="cle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Retail </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Programs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Wholesale Brokerage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Commissions and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2,086</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w:t>
            </w:r>
          </w:p>
        </w:tc>
        <w:tc>
          <w:tcPr>
            <w:tcW w:w="271"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3,545</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3,193</w:t>
            </w:r>
          </w:p>
        </w:tc>
        <w:tc>
          <w:tcPr>
            <w:tcW w:w="216"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change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271"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growth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CFF0FC" w:val="clear"/>
            <w:vAlign w:val="center"/>
          </w:tcPr>
          <w:p>
            <w:pPr>
              <w:pStyle w:val="TableContents"/>
              <w:bidi w:val="0"/>
              <w:spacing w:before="0" w:after="283"/>
              <w:jc w:val="left"/>
              <w:rPr/>
            </w:pPr>
            <w:r>
              <w:rPr/>
              <w:t> </w:t>
            </w:r>
          </w:p>
        </w:tc>
        <w:tc>
          <w:tcPr>
            <w:tcW w:w="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Profit-sharing contingent</w:t>
              <w:br/>
              <w:t>   commissions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2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commissions and fees</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2,056</w:t>
            </w:r>
          </w:p>
        </w:tc>
        <w:tc>
          <w:tcPr>
            <w:tcW w:w="2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w:t>
            </w:r>
          </w:p>
        </w:tc>
        <w:tc>
          <w:tcPr>
            <w:tcW w:w="2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0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3,435</w:t>
            </w:r>
          </w:p>
        </w:tc>
        <w:tc>
          <w:tcPr>
            <w:tcW w:w="2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3,105</w:t>
            </w:r>
          </w:p>
        </w:tc>
        <w:tc>
          <w:tcPr>
            <w:tcW w:w="2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216"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Dispositions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t>
            </w:r>
            <w:r>
              <w:rPr>
                <w:rFonts w:ascii="Times New Roman" w:hAnsi="Times New Roman"/>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2,001</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w:t>
            </w:r>
          </w:p>
        </w:tc>
        <w:tc>
          <w:tcPr>
            <w:tcW w:w="271"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3,315</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3,031</w:t>
            </w:r>
          </w:p>
        </w:tc>
        <w:tc>
          <w:tcPr>
            <w:tcW w:w="216"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w:t>
            </w: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71"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 </w:t>
            </w:r>
            <w:r>
              <w:rPr>
                <w:rFonts w:ascii="Times New Roman" w:hAnsi="Times New Roman"/>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CFF0FC" w:val="clear"/>
            <w:vAlign w:val="center"/>
          </w:tcPr>
          <w:p>
            <w:pPr>
              <w:pStyle w:val="TableContents"/>
              <w:bidi w:val="0"/>
              <w:spacing w:before="0" w:after="283"/>
              <w:jc w:val="left"/>
              <w:rPr/>
            </w:pPr>
            <w:r>
              <w:rPr/>
              <w:t> </w:t>
            </w:r>
          </w:p>
        </w:tc>
        <w:tc>
          <w:tcPr>
            <w:tcW w:w="6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Retail segment includes commissions and fees reported in the “Other” column of the Segment Information in Note 12 of the Notes to the Condensed Consolidated Financial Statements, which includes corporate and consolidation items.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reconciliation of commissions and fees included in the Condensed Consolidated Statements of Income to Organic Revenue, a non-GAAP financial measure, for the nine months ended September 30, 2023 and 2022, including by segment, and the growth rates for Organic Revenue for the nine months ended September 30, 2023, including by segment,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1"/>
        <w:gridCol w:w="146"/>
        <w:gridCol w:w="196"/>
        <w:gridCol w:w="511"/>
        <w:gridCol w:w="256"/>
        <w:gridCol w:w="146"/>
        <w:gridCol w:w="196"/>
        <w:gridCol w:w="511"/>
        <w:gridCol w:w="166"/>
        <w:gridCol w:w="146"/>
        <w:gridCol w:w="196"/>
        <w:gridCol w:w="421"/>
        <w:gridCol w:w="256"/>
        <w:gridCol w:w="146"/>
        <w:gridCol w:w="196"/>
        <w:gridCol w:w="376"/>
        <w:gridCol w:w="166"/>
        <w:gridCol w:w="146"/>
        <w:gridCol w:w="207"/>
        <w:gridCol w:w="446"/>
        <w:gridCol w:w="271"/>
        <w:gridCol w:w="154"/>
        <w:gridCol w:w="207"/>
        <w:gridCol w:w="398"/>
        <w:gridCol w:w="166"/>
        <w:gridCol w:w="146"/>
        <w:gridCol w:w="196"/>
        <w:gridCol w:w="511"/>
        <w:gridCol w:w="256"/>
        <w:gridCol w:w="146"/>
        <w:gridCol w:w="196"/>
        <w:gridCol w:w="511"/>
        <w:gridCol w:w="216"/>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2023</w:t>
            </w:r>
          </w:p>
        </w:tc>
        <w:tc>
          <w:tcPr>
            <w:tcW w:w="146" w:type="dxa"/>
            <w:tcBorders/>
            <w:shd w:fill="FFFFFF" w:val="cle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Retail</w:t>
            </w:r>
            <w:r>
              <w:rPr>
                <w:rFonts w:ascii="Times New Roman" w:hAnsi="Times New Roman"/>
                <w:color w:val="000000"/>
                <w:sz w:val="18"/>
              </w:rPr>
              <w:t xml:space="preserve"> </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Programs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Wholesale Brokerage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millions)</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Commissions and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w:t>
            </w:r>
          </w:p>
        </w:tc>
        <w:tc>
          <w:tcPr>
            <w:tcW w:w="271"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3,193</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2,669</w:t>
            </w:r>
          </w:p>
        </w:tc>
        <w:tc>
          <w:tcPr>
            <w:tcW w:w="216"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change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271"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growth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CFF0FC" w:val="clear"/>
            <w:vAlign w:val="center"/>
          </w:tcPr>
          <w:p>
            <w:pPr>
              <w:pStyle w:val="TableContents"/>
              <w:bidi w:val="0"/>
              <w:spacing w:before="0" w:after="283"/>
              <w:jc w:val="left"/>
              <w:rPr/>
            </w:pPr>
            <w:r>
              <w:rPr/>
              <w:t> </w:t>
            </w:r>
          </w:p>
        </w:tc>
        <w:tc>
          <w:tcPr>
            <w:tcW w:w="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Profit-sharing contingent</w:t>
              <w:br/>
              <w:t>   commissions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commissions and fees</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w:t>
            </w:r>
          </w:p>
        </w:tc>
        <w:tc>
          <w:tcPr>
            <w:tcW w:w="2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2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0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3,105</w:t>
            </w:r>
          </w:p>
        </w:tc>
        <w:tc>
          <w:tcPr>
            <w:tcW w:w="2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2,610</w:t>
            </w:r>
          </w:p>
        </w:tc>
        <w:tc>
          <w:tcPr>
            <w:tcW w:w="2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revenues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216"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Dispositions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t>
            </w:r>
            <w:r>
              <w:rPr>
                <w:rFonts w:ascii="Times New Roman" w:hAnsi="Times New Roman"/>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1,696</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271"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2,861</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2,577</w:t>
            </w:r>
          </w:p>
        </w:tc>
        <w:tc>
          <w:tcPr>
            <w:tcW w:w="216"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w:t>
            </w: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71"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 </w:t>
            </w:r>
            <w:r>
              <w:rPr>
                <w:rFonts w:ascii="Times New Roman" w:hAnsi="Times New Roman"/>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CFF0FC" w:val="clear"/>
            <w:vAlign w:val="center"/>
          </w:tcPr>
          <w:p>
            <w:pPr>
              <w:pStyle w:val="TableContents"/>
              <w:bidi w:val="0"/>
              <w:spacing w:before="0" w:after="283"/>
              <w:jc w:val="left"/>
              <w:rPr/>
            </w:pPr>
            <w:r>
              <w:rPr/>
              <w:t> </w:t>
            </w:r>
          </w:p>
        </w:tc>
        <w:tc>
          <w:tcPr>
            <w:tcW w:w="6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Retail segment includes commissions and fees reported in the “Other” column of the Segment Information in Note 12 of the Notes to the Condensed Consolidated Financial Statements, which includes corporate and consolidation items.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three months ended September 30, 2024, including by segment, is as follows:</w:t>
      </w:r>
    </w:p>
    <w:p>
      <w:pPr>
        <w:pStyle w:val="TextBody"/>
        <w:bidi w:val="0"/>
        <w:jc w:val="left"/>
        <w:rPr/>
      </w:pPr>
      <w:r>
        <w:rPr/>
        <w:t> </w:t>
      </w:r>
    </w:p>
    <w:tbl>
      <w:tblPr>
        <w:tblW w:w="9254" w:type="dxa"/>
        <w:jc w:val="left"/>
        <w:tblInd w:w="0" w:type="dxa"/>
        <w:tblLayout w:type="fixed"/>
        <w:tblCellMar>
          <w:top w:w="28" w:type="dxa"/>
          <w:left w:w="28" w:type="dxa"/>
          <w:bottom w:w="28" w:type="dxa"/>
          <w:right w:w="28" w:type="dxa"/>
        </w:tblCellMar>
      </w:tblPr>
      <w:tblGrid>
        <w:gridCol w:w="3286"/>
        <w:gridCol w:w="146"/>
        <w:gridCol w:w="211"/>
        <w:gridCol w:w="466"/>
        <w:gridCol w:w="271"/>
        <w:gridCol w:w="146"/>
        <w:gridCol w:w="257"/>
        <w:gridCol w:w="569"/>
        <w:gridCol w:w="271"/>
        <w:gridCol w:w="146"/>
        <w:gridCol w:w="271"/>
        <w:gridCol w:w="600"/>
        <w:gridCol w:w="271"/>
        <w:gridCol w:w="146"/>
        <w:gridCol w:w="211"/>
        <w:gridCol w:w="376"/>
        <w:gridCol w:w="166"/>
        <w:gridCol w:w="146"/>
        <w:gridCol w:w="211"/>
        <w:gridCol w:w="571"/>
        <w:gridCol w:w="5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 Margin</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5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EBITDAC - Adjusted</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5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 - Adjusted</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three months ended September 30, 2023, including by segment, is as follows:</w:t>
      </w:r>
    </w:p>
    <w:p>
      <w:pPr>
        <w:pStyle w:val="TextBody"/>
        <w:bidi w:val="0"/>
        <w:spacing w:before="40" w:after="283"/>
        <w:jc w:val="left"/>
        <w:rPr/>
      </w:pPr>
      <w:r>
        <w:rPr/>
        <w:t> </w:t>
      </w:r>
    </w:p>
    <w:tbl>
      <w:tblPr>
        <w:tblW w:w="10003" w:type="dxa"/>
        <w:jc w:val="left"/>
        <w:tblInd w:w="0" w:type="dxa"/>
        <w:tblLayout w:type="fixed"/>
        <w:tblCellMar>
          <w:top w:w="28" w:type="dxa"/>
          <w:left w:w="28" w:type="dxa"/>
          <w:bottom w:w="28" w:type="dxa"/>
          <w:right w:w="28" w:type="dxa"/>
        </w:tblCellMar>
      </w:tblPr>
      <w:tblGrid>
        <w:gridCol w:w="3286"/>
        <w:gridCol w:w="146"/>
        <w:gridCol w:w="211"/>
        <w:gridCol w:w="466"/>
        <w:gridCol w:w="271"/>
        <w:gridCol w:w="146"/>
        <w:gridCol w:w="257"/>
        <w:gridCol w:w="569"/>
        <w:gridCol w:w="271"/>
        <w:gridCol w:w="146"/>
        <w:gridCol w:w="513"/>
        <w:gridCol w:w="1137"/>
        <w:gridCol w:w="271"/>
        <w:gridCol w:w="146"/>
        <w:gridCol w:w="211"/>
        <w:gridCol w:w="346"/>
        <w:gridCol w:w="166"/>
        <w:gridCol w:w="146"/>
        <w:gridCol w:w="211"/>
        <w:gridCol w:w="571"/>
        <w:gridCol w:w="5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 Brokerage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 Margin</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5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Acquisition/Integration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CFF0FC" w:val="clear"/>
            <w:vAlign w:val="center"/>
          </w:tcPr>
          <w:p>
            <w:pPr>
              <w:pStyle w:val="TableContents"/>
              <w:bidi w:val="0"/>
              <w:spacing w:before="0" w:after="283"/>
              <w:ind w:left="0" w:right="0" w:firstLine="100"/>
              <w:jc w:val="left"/>
              <w:rPr/>
            </w:pPr>
            <w:r>
              <w:rPr/>
              <w:t> </w:t>
            </w:r>
          </w:p>
        </w:tc>
      </w:tr>
      <w:tr>
        <w:trPr/>
        <w:tc>
          <w:tcPr>
            <w:tcW w:w="328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EBITDAC - Adjusted</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5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 - Adjusted</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nine months ended September 30, 2024, including by segment, is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138" w:type="dxa"/>
        <w:jc w:val="left"/>
        <w:tblInd w:w="0" w:type="dxa"/>
        <w:tblLayout w:type="fixed"/>
        <w:tblCellMar>
          <w:top w:w="28" w:type="dxa"/>
          <w:left w:w="28" w:type="dxa"/>
          <w:bottom w:w="28" w:type="dxa"/>
          <w:right w:w="28" w:type="dxa"/>
        </w:tblCellMar>
      </w:tblPr>
      <w:tblGrid>
        <w:gridCol w:w="3286"/>
        <w:gridCol w:w="146"/>
        <w:gridCol w:w="211"/>
        <w:gridCol w:w="571"/>
        <w:gridCol w:w="271"/>
        <w:gridCol w:w="146"/>
        <w:gridCol w:w="222"/>
        <w:gridCol w:w="604"/>
        <w:gridCol w:w="271"/>
        <w:gridCol w:w="146"/>
        <w:gridCol w:w="513"/>
        <w:gridCol w:w="1137"/>
        <w:gridCol w:w="271"/>
        <w:gridCol w:w="146"/>
        <w:gridCol w:w="211"/>
        <w:gridCol w:w="376"/>
        <w:gridCol w:w="166"/>
        <w:gridCol w:w="146"/>
        <w:gridCol w:w="211"/>
        <w:gridCol w:w="571"/>
        <w:gridCol w:w="5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 Brokerage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 Margin</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5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EBITDAC - Adjusted</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5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 - Adjusted</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nine months ended September 30, 2023, including by segment, is as follows:</w:t>
      </w:r>
    </w:p>
    <w:tbl>
      <w:tblPr>
        <w:tblW w:w="10138" w:type="dxa"/>
        <w:jc w:val="left"/>
        <w:tblInd w:w="0" w:type="dxa"/>
        <w:tblLayout w:type="fixed"/>
        <w:tblCellMar>
          <w:top w:w="28" w:type="dxa"/>
          <w:left w:w="28" w:type="dxa"/>
          <w:bottom w:w="28" w:type="dxa"/>
          <w:right w:w="28" w:type="dxa"/>
        </w:tblCellMar>
      </w:tblPr>
      <w:tblGrid>
        <w:gridCol w:w="3286"/>
        <w:gridCol w:w="146"/>
        <w:gridCol w:w="211"/>
        <w:gridCol w:w="571"/>
        <w:gridCol w:w="271"/>
        <w:gridCol w:w="146"/>
        <w:gridCol w:w="257"/>
        <w:gridCol w:w="569"/>
        <w:gridCol w:w="271"/>
        <w:gridCol w:w="146"/>
        <w:gridCol w:w="513"/>
        <w:gridCol w:w="1137"/>
        <w:gridCol w:w="271"/>
        <w:gridCol w:w="146"/>
        <w:gridCol w:w="211"/>
        <w:gridCol w:w="376"/>
        <w:gridCol w:w="166"/>
        <w:gridCol w:w="146"/>
        <w:gridCol w:w="211"/>
        <w:gridCol w:w="571"/>
        <w:gridCol w:w="5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 Brokerage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 Margin</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5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Acquisition/Integration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6" w:type="dxa"/>
            <w:tcBorders/>
            <w:shd w:fill="CFF0FC" w:val="clear"/>
            <w:vAlign w:val="center"/>
          </w:tcPr>
          <w:p>
            <w:pPr>
              <w:pStyle w:val="TableContents"/>
              <w:bidi w:val="0"/>
              <w:spacing w:before="0" w:after="283"/>
              <w:ind w:left="0" w:right="0" w:firstLine="100"/>
              <w:jc w:val="left"/>
              <w:rPr/>
            </w:pPr>
            <w:r>
              <w:rPr/>
              <w:t> </w:t>
            </w:r>
          </w:p>
        </w:tc>
      </w:tr>
      <w:tr>
        <w:trPr/>
        <w:tc>
          <w:tcPr>
            <w:tcW w:w="3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1Q23 Nonrecurring Cost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EBITDAC - Adjusted</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516"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 - Adjusted</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Retail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Retail segment provides a broad range of insurance products and services to commercial, public and quasi-public, professional and individual insured customers, and non-insurance risk-mitigating products through our F&amp;I businesses. Approximately 78% of the Retail segment’s commissions and fees revenue is commission based.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relating to our Retail segment is as follows: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710"/>
        <w:gridCol w:w="146"/>
        <w:gridCol w:w="211"/>
        <w:gridCol w:w="466"/>
        <w:gridCol w:w="271"/>
        <w:gridCol w:w="146"/>
        <w:gridCol w:w="211"/>
        <w:gridCol w:w="466"/>
        <w:gridCol w:w="271"/>
        <w:gridCol w:w="146"/>
        <w:gridCol w:w="163"/>
        <w:gridCol w:w="708"/>
        <w:gridCol w:w="314"/>
        <w:gridCol w:w="146"/>
        <w:gridCol w:w="211"/>
        <w:gridCol w:w="571"/>
        <w:gridCol w:w="271"/>
        <w:gridCol w:w="146"/>
        <w:gridCol w:w="211"/>
        <w:gridCol w:w="571"/>
        <w:gridCol w:w="271"/>
        <w:gridCol w:w="146"/>
        <w:gridCol w:w="163"/>
        <w:gridCol w:w="708"/>
        <w:gridCol w:w="561"/>
      </w:tblGrid>
      <w:tr>
        <w:trPr/>
        <w:tc>
          <w:tcPr>
            <w:tcW w:w="2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7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0"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jc w:val="right"/>
              <w:rPr/>
            </w:pPr>
            <w:r>
              <w:rPr/>
              <w:t> </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31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561" w:type="dxa"/>
            <w:tcBorders/>
            <w:shd w:fill="FFFFFF" w:val="clear"/>
            <w:vAlign w:val="center"/>
          </w:tcPr>
          <w:p>
            <w:pPr>
              <w:pStyle w:val="TableContents"/>
              <w:bidi w:val="0"/>
              <w:spacing w:before="0" w:after="283"/>
              <w:jc w:val="right"/>
              <w:rPr/>
            </w:pPr>
            <w:r>
              <w:rPr/>
              <w:t> </w:t>
            </w:r>
          </w:p>
        </w:tc>
      </w:tr>
      <w:tr>
        <w:trPr/>
        <w:tc>
          <w:tcPr>
            <w:tcW w:w="2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jc w:val="right"/>
              <w:rPr/>
            </w:pPr>
            <w:r>
              <w:rPr/>
              <w:t> </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w:t>
              <w:br/>
              <w:t xml:space="preserve">   Margin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jc w:val="right"/>
              <w:rPr/>
            </w:pPr>
            <w:r>
              <w:rPr/>
              <w:t> </w:t>
            </w:r>
          </w:p>
        </w:tc>
      </w:tr>
      <w:tr>
        <w:trPr/>
        <w:tc>
          <w:tcPr>
            <w:tcW w:w="271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jc w:val="right"/>
              <w:rPr/>
            </w:pPr>
            <w:r>
              <w:rPr/>
              <w:t> </w:t>
            </w:r>
          </w:p>
        </w:tc>
      </w:tr>
      <w:tr>
        <w:trPr/>
        <w:tc>
          <w:tcPr>
            <w:tcW w:w="271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561" w:type="dxa"/>
            <w:tcBorders/>
            <w:shd w:fill="FFFFFF" w:val="clear"/>
            <w:vAlign w:val="center"/>
          </w:tcPr>
          <w:p>
            <w:pPr>
              <w:pStyle w:val="TableContents"/>
              <w:bidi w:val="0"/>
              <w:spacing w:before="0" w:after="283"/>
              <w:jc w:val="right"/>
              <w:rPr/>
            </w:pPr>
            <w:r>
              <w:rPr/>
              <w:t> </w:t>
            </w:r>
          </w:p>
        </w:tc>
      </w:tr>
      <w:tr>
        <w:trPr/>
        <w:tc>
          <w:tcPr>
            <w:tcW w:w="2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br/>
              <w:t>   relative to 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jc w:val="right"/>
              <w:rPr/>
            </w:pPr>
            <w:r>
              <w:rPr/>
              <w:t> </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w:t>
              <w:br/>
              <w:t>   to 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561" w:type="dxa"/>
            <w:tcBorders/>
            <w:shd w:fill="FFFFFF" w:val="clear"/>
            <w:vAlign w:val="center"/>
          </w:tcPr>
          <w:p>
            <w:pPr>
              <w:pStyle w:val="TableContents"/>
              <w:bidi w:val="0"/>
              <w:spacing w:before="0" w:after="283"/>
              <w:jc w:val="right"/>
              <w:rPr/>
            </w:pPr>
            <w:r>
              <w:rPr/>
              <w:t> </w:t>
            </w:r>
          </w:p>
        </w:tc>
      </w:tr>
      <w:tr>
        <w:trPr/>
        <w:tc>
          <w:tcPr>
            <w:tcW w:w="2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September 30,</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Retail segment’s total revenues for the three months ended September 30, 2024 increased 6.5%, or $39 million, as compared to the same period in 2023, to $641 million. The $40 million increase in core commissions and fees revenue was driven by: (i) approximately $16 million related to the core commissions and fees revenue from acquisitions that had no comparable revenues in the same period of 2023; (ii) an increase of $23 million related to net new and renewal business; and (iii) an increase from the impact of Foreign Currency Translation of $2 million. Profit-sharing contingent commissions for the third quarter of 2024 decreased 11.1%, or $1 million, as compared to the same period in 2023, to $8 million. This decrease was primarily the result of not qualifying for certain profit-sharing contingent commissions in 2024, due to higher loss ratios experienced by our insurance carrier partners. The Retail segment’s total commissions and fees increased by 6.5%, and the Organic Revenue growth rate was 3.9% for the third quarter of 2024. The Organic Revenue growth rate was driven by net new business written during the preceding twelve months and growth on renewals of existing customers. Renewal business was impacted by timing of certain nonrecurring revenue adjustments to incentive commissions and moderating rates and exposure unit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for the three months ended September 30, 2024 increased 7.1%, or $8 million, as compared to the same period in 2023, to $120 million. The primary factors driving this increase were: (i) a decrease in intercompany interest expense; (ii) a decrease in estimated acquisition earn-out payables, and (iii) the profit associated with the net increase in revenue as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EBITDAC - Adjusted for the three months ended September 30, 2024 decreased 0.6%, or $1 million, as compared to the same period in 2023, to $170 million. EBITDAC Margin - Adjusted for the three months ended September 30, 2024 decreased to 26.5% from 28.4% in the same period in 2023. The change in EBITDAC Margin - Adjusted was primarily driven by: (i) a decrease in profit-sharing contingent commissions, (ii) higher non-cash stock-based compensation (iii) the timing of certain nonrecurring revenue and adjustments to incentive commissions, (iv) higher compensation due to investments in employees which was partially offset by (v) the net increase in revenue as described above and (vi) leveraging our expense base.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Retail segment’s total revenues for the nine months ended September 30, 2024 increased 8.7%, or $167 million, as compared to the same period in 2023, to $2,093 million. The $175 million increase in core commissions and fees revenue was driven by: (i) approximately $55 million related to the core commissions and fees revenue from acquisitions that had no comparable revenues in the same period of 2023; (ii) an increase of $119 million related to net new and renewal business and (iii) an offsetting decrease of $3 million related to commissions and fees recorded in 2023 from businesses since divested. Profit-sharing contingent commissions for the nine months of 2024 decreased 25.0%, or $10 million, as compared to the same period in 2023, to $30 million. This decrease was primarily the result of not qualifying for certain profit-sharing contingent commissions in 2024, due to higher loss ratios experienced by our insurance carrier partners. The Retail segment’s total commissions and fees increased by 8.6%, and the Organic Revenue growth rate was 6.3% for the first nine months of 2024. The Organic Revenue growth rate was driven by net new business written during the preceding twelve months and growth on renewals of existing customers. Renewal business was impacted by moderating rates and growth of exposure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for the nine months ended September 30, 2024 increased 13.0%, or $56 million, as compared to the same period in 2023, to $488 million. The primary factors driving this increase were: (i) a decrease in intercompany interest expense; (ii) a decrease in estimated acquisition earn-out payables, and (iii) the profit associated with the net increase in revenue as described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EBITDAC - Adjusted for the nine months ended September 30, 2024 increased 5.8%, or $35 million, as compared to the same period in 2023, to $641 million. EBITDAC Margin - Adjusted for the nine months ended September 30, 2024 decreased to 30.6% from 31.5% in the same period in 2023. The decrease in EBITDAC Margin - Adjusted was primarily driven by: (i) a decrease in profit-sharing contingent commissions and, (ii) higher non-cash stock-based compensation and (iii) higher compensation due to investments in employees, which was partially offset by, (iv) the net increase in revenue as described above and (v) leveraging our expense base.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Programs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Programs segment manages over 60 programs supported by over 100 well-capitalized carrier partners. In most cases, the insurance carriers that support these programs have delegated underwriting and, in many instances, claims-handling authority to our programs' operations. These programs are generally distributed through a nationwide network of independent agents and Brown &amp; Brown retail agents, and offer targeted products and services designed for specific industries, trade groups, professions, public entities and market niches. This segment also operates our write-your-own flood insurance carrier, WNFIC and operates two Captives. WNFIC’s underwriting business consists of policies written on behalf of and fully ceded to the NFIP, as well as excess flood policies, which are fully reinsured in the private market. The Captives provide additional underwriting capacity that enable growth in core commissions and fees, and allow us to participate in underwriting results with limited exposure to claims expenses. The Company has traditionally participated in underwriting profits through profit-sharing contingent commissions. These Captives give us another way to continue to participate in underwriting results while limiting exposure to claims expenses. The Captives focus on property insurance for earthquake and wind exposed properties underwritten by certain of our MGUs. The Captives limit the Company's exposure to claims expenses either through reinsurance or by participating in limited tranches of the underwriting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Programs segment operations can be grouped into five broad categories: Professional Programs, Personal Lines Programs, Commercial Programs, Public Entity-Related Programs and Specialty Programs. Approximately 76% of the Programs segment’s commissions and fees revenue is commission based.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relating to our Programs segment is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874"/>
        <w:gridCol w:w="146"/>
        <w:gridCol w:w="211"/>
        <w:gridCol w:w="466"/>
        <w:gridCol w:w="271"/>
        <w:gridCol w:w="146"/>
        <w:gridCol w:w="211"/>
        <w:gridCol w:w="466"/>
        <w:gridCol w:w="271"/>
        <w:gridCol w:w="146"/>
        <w:gridCol w:w="189"/>
        <w:gridCol w:w="682"/>
        <w:gridCol w:w="319"/>
        <w:gridCol w:w="146"/>
        <w:gridCol w:w="211"/>
        <w:gridCol w:w="571"/>
        <w:gridCol w:w="271"/>
        <w:gridCol w:w="146"/>
        <w:gridCol w:w="211"/>
        <w:gridCol w:w="571"/>
        <w:gridCol w:w="271"/>
        <w:gridCol w:w="146"/>
        <w:gridCol w:w="177"/>
        <w:gridCol w:w="694"/>
        <w:gridCol w:w="392"/>
      </w:tblGrid>
      <w:tr>
        <w:trPr/>
        <w:tc>
          <w:tcPr>
            <w:tcW w:w="2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8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28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392" w:type="dxa"/>
            <w:tcBorders/>
            <w:shd w:fill="CFF0FC" w:val="clear"/>
            <w:vAlign w:val="center"/>
          </w:tcPr>
          <w:p>
            <w:pPr>
              <w:pStyle w:val="TableContents"/>
              <w:bidi w:val="0"/>
              <w:spacing w:before="0" w:after="283"/>
              <w:ind w:left="0" w:right="0" w:firstLine="200"/>
              <w:jc w:val="right"/>
              <w:rPr/>
            </w:pPr>
            <w:r>
              <w:rPr/>
              <w:t> </w:t>
            </w:r>
          </w:p>
        </w:tc>
      </w:tr>
      <w:tr>
        <w:trPr/>
        <w:tc>
          <w:tcPr>
            <w:tcW w:w="287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28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392" w:type="dxa"/>
            <w:tcBorders/>
            <w:shd w:fill="FFFFFF" w:val="clear"/>
            <w:vAlign w:val="center"/>
          </w:tcPr>
          <w:p>
            <w:pPr>
              <w:pStyle w:val="TableContents"/>
              <w:bidi w:val="0"/>
              <w:spacing w:before="0" w:after="283"/>
              <w:jc w:val="right"/>
              <w:rPr/>
            </w:pPr>
            <w:r>
              <w:rPr/>
              <w:t> </w:t>
            </w:r>
          </w:p>
        </w:tc>
      </w:tr>
      <w:tr>
        <w:trPr/>
        <w:tc>
          <w:tcPr>
            <w:tcW w:w="28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31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392" w:type="dxa"/>
            <w:tcBorders/>
            <w:shd w:fill="FFFFFF" w:val="clear"/>
            <w:vAlign w:val="center"/>
          </w:tcPr>
          <w:p>
            <w:pPr>
              <w:pStyle w:val="TableContents"/>
              <w:bidi w:val="0"/>
              <w:spacing w:before="0" w:after="283"/>
              <w:ind w:left="0" w:right="0" w:firstLine="200"/>
              <w:jc w:val="right"/>
              <w:rPr/>
            </w:pPr>
            <w:r>
              <w:rPr/>
              <w:t> </w:t>
            </w:r>
          </w:p>
        </w:tc>
      </w:tr>
      <w:tr>
        <w:trPr/>
        <w:tc>
          <w:tcPr>
            <w:tcW w:w="287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w:t>
              <w:br/>
              <w:t xml:space="preserve">   Margin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287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287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right"/>
              <w:rPr/>
            </w:pPr>
            <w:r>
              <w:rPr/>
              <w:t> </w:t>
            </w:r>
          </w:p>
        </w:tc>
      </w:tr>
      <w:tr>
        <w:trPr/>
        <w:tc>
          <w:tcPr>
            <w:tcW w:w="28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br/>
              <w:t>   relative to 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28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w:t>
              <w:br/>
              <w:t>   to 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right"/>
              <w:rPr/>
            </w:pPr>
            <w:r>
              <w:rPr/>
              <w:t> </w:t>
            </w:r>
          </w:p>
        </w:tc>
      </w:tr>
      <w:tr>
        <w:trPr/>
        <w:tc>
          <w:tcPr>
            <w:tcW w:w="28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September 30,</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spacing w:before="12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Programs segment’s total revenues for the three months ended September 30, 2024 increased 15.7%, or $48 million, as compared to the same period in 2023, to $353 million. The $51 million increase in core commissions and fees revenue was driven by: (i) approximately $17 million related to the core commissions and fees revenue from acquisitions that had no comparable revenues in the same period of 2023; (ii) approximately $60 million of net new business, renewal business, and fee revenues and (iii) an offsetting decrease of $26 million related to commissions and fees revenue from businesses divested in the preceding twelve months. Profit-sharing contingent commissions for the third quarter of 2024 decreased approximately $5 million as compared to the third quarter of 2023. This decrease was driven by the expected claims costs associated with Hurricane Helene.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Programs segment’s total commissions and fees increased by 15.3%, and the Organic Revenue growth rate was 22.8% for the three months ended September 30, 2024. The Organic Revenue growth was driven by good new business and retention as well as exposure unit expansion.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for the three months ended September 30, 2024 increased 33.9%, or $39 million, as compared to the same period in 2023, to $154 million. Income before income taxes increased due to the drivers of EBITDAC - Adjusted described below along with the decrease in estimated acquisition earn-out payables.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EBITDAC - Adjusted for the three months ended September 30, 2024 increased 25.0%, or $34 million, from the same period in 2023, to $170 million. EBITDAC Margin - Adjusted for the three months ended September 30, 2024 increased to 48.2% from 44.6% in the same period in 2023. EBITDAC Margin - Adjusted increased due to leveraging our expense base and the sale of certain third-party claims administration and adjusting services businesses in the fourth quarter of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Programs segment’s total revenues for the nine months ended September 30, 2024 increased 16.1%, or $140 million, as compared to the same period in 2023, to $1,010 million. The $105 million increase in core commissions and fees revenue was driven by: (i) approximately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$126 million of net new renewal business and fee revenues; (ii) an offsetting decrease of $79 million related to commissions and fees revenue from business divested in the preceding twelve months and (iii) $58 million from acquisitions that had no comparable revenues in the same period of 2023. Profit-sharing contingent commissions for the nine months ended September 30, 2023 increased approximately $23 million, or by 65.7%, as compared to the same period in 2023. This increase was driven by qualifying for certain contingent commissions that we did not qualify for in the prior year, favorable loss ratios, prior year adjustments and acquisitions partially offset due to the impact related to expected insured losses resulting from Hurricane Helene.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Programs segment’s total commissions and fees increased by 14.8%, and the Organic Revenue growth rate was 16.8%, for the nine months ended September 30, 2024. The Organic Revenue growth was driven primarily by strong net new business across most of our Programs and good retention, a growth incentive received for one of our programs and partially offset by nonrecurring claims revenue in the prior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for the nine months ended September 30, 2024 increased 39.8%, or $125 million, from the same period in 2023, to $439 million. Income before income taxes increased due to the drivers of EBITDAC - Adjusted described below along with the gain on disposal of certain businesses.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EBITDAC - Adjusted for the nine months ended September 30, 2024 increased 26.1%, or $98 million, as compared to the same period in 2023, to $474 million. EBITDAC Margin - Adjusted for the nine months ended September 30, 2024 increased to 46.9% from 43.2% in the same period in 2023. EBITDAC Margin - Adjusted increased due to leveraging our expense base and the sale of certain third-party claims administration and adjusting services businesses in the fourth quarter of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Wholesale Brokerage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Wholesale Brokerage segment markets and sells excess and surplus commercial and personal lines insurance, primarily through independent agents and brokers, including Brown &amp; Brown retail agents. Approximately 86% of the Wholesale Brokerage segment’s commissions and fees revenue is commission based.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relating to our Wholesale Brokerage segment is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710"/>
        <w:gridCol w:w="146"/>
        <w:gridCol w:w="211"/>
        <w:gridCol w:w="466"/>
        <w:gridCol w:w="271"/>
        <w:gridCol w:w="146"/>
        <w:gridCol w:w="211"/>
        <w:gridCol w:w="466"/>
        <w:gridCol w:w="271"/>
        <w:gridCol w:w="146"/>
        <w:gridCol w:w="177"/>
        <w:gridCol w:w="694"/>
        <w:gridCol w:w="314"/>
        <w:gridCol w:w="146"/>
        <w:gridCol w:w="211"/>
        <w:gridCol w:w="571"/>
        <w:gridCol w:w="271"/>
        <w:gridCol w:w="146"/>
        <w:gridCol w:w="211"/>
        <w:gridCol w:w="571"/>
        <w:gridCol w:w="271"/>
        <w:gridCol w:w="146"/>
        <w:gridCol w:w="163"/>
        <w:gridCol w:w="708"/>
        <w:gridCol w:w="561"/>
      </w:tblGrid>
      <w:tr>
        <w:trPr/>
        <w:tc>
          <w:tcPr>
            <w:tcW w:w="2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7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0"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3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561" w:type="dxa"/>
            <w:tcBorders/>
            <w:shd w:fill="FFFFFF" w:val="clear"/>
            <w:vAlign w:val="center"/>
          </w:tcPr>
          <w:p>
            <w:pPr>
              <w:pStyle w:val="TableContents"/>
              <w:bidi w:val="0"/>
              <w:spacing w:before="0" w:after="283"/>
              <w:jc w:val="center"/>
              <w:rPr/>
            </w:pPr>
            <w:r>
              <w:rPr/>
              <w:t> </w:t>
            </w:r>
          </w:p>
        </w:tc>
      </w:tr>
      <w:tr>
        <w:trPr/>
        <w:tc>
          <w:tcPr>
            <w:tcW w:w="271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jc w:val="right"/>
              <w:rPr/>
            </w:pPr>
            <w:r>
              <w:rPr/>
              <w:t> </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561" w:type="dxa"/>
            <w:tcBorders/>
            <w:shd w:fill="FFFFFF" w:val="clear"/>
            <w:vAlign w:val="center"/>
          </w:tcPr>
          <w:p>
            <w:pPr>
              <w:pStyle w:val="TableContents"/>
              <w:bidi w:val="0"/>
              <w:spacing w:before="0" w:after="283"/>
              <w:jc w:val="right"/>
              <w:rPr/>
            </w:pPr>
            <w:r>
              <w:rPr/>
              <w:t> </w:t>
            </w:r>
          </w:p>
        </w:tc>
      </w:tr>
      <w:tr>
        <w:trPr/>
        <w:tc>
          <w:tcPr>
            <w:tcW w:w="2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color w:val="000000"/>
              </w:rPr>
            </w:pPr>
            <w:r>
              <w:rPr>
                <w:color w:val="000000"/>
              </w:rPr>
              <w:t>—</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jc w:val="right"/>
              <w:rPr/>
            </w:pPr>
            <w:r>
              <w:rPr/>
              <w:t> </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color w:val="000000"/>
              </w:rPr>
            </w:pPr>
            <w:r>
              <w:rPr>
                <w:color w:val="000000"/>
              </w:rPr>
              <w:t>—</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color w:val="000000"/>
              </w:rPr>
            </w:pPr>
            <w:r>
              <w:rPr>
                <w:color w:val="000000"/>
              </w:rPr>
              <w:t>—</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color w:val="000000"/>
              </w:rPr>
            </w:pPr>
            <w:r>
              <w:rPr>
                <w:color w:val="000000"/>
              </w:rPr>
              <w:t>—</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color w:val="000000"/>
              </w:rPr>
            </w:pPr>
            <w:r>
              <w:rPr>
                <w:color w:val="000000"/>
              </w:rPr>
              <w:t>—</w:t>
            </w:r>
          </w:p>
        </w:tc>
        <w:tc>
          <w:tcPr>
            <w:tcW w:w="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w:t>
              <w:br/>
              <w:t xml:space="preserve">   Margin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jc w:val="right"/>
              <w:rPr/>
            </w:pPr>
            <w:r>
              <w:rPr/>
              <w:t> </w:t>
            </w:r>
          </w:p>
        </w:tc>
      </w:tr>
      <w:tr>
        <w:trPr/>
        <w:tc>
          <w:tcPr>
            <w:tcW w:w="271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jc w:val="right"/>
              <w:rPr/>
            </w:pPr>
            <w:r>
              <w:rPr/>
              <w:t> </w:t>
            </w:r>
          </w:p>
        </w:tc>
      </w:tr>
      <w:tr>
        <w:trPr/>
        <w:tc>
          <w:tcPr>
            <w:tcW w:w="271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561" w:type="dxa"/>
            <w:tcBorders/>
            <w:shd w:fill="FFFFFF" w:val="clear"/>
            <w:vAlign w:val="center"/>
          </w:tcPr>
          <w:p>
            <w:pPr>
              <w:pStyle w:val="TableContents"/>
              <w:bidi w:val="0"/>
              <w:spacing w:before="0" w:after="283"/>
              <w:jc w:val="right"/>
              <w:rPr/>
            </w:pPr>
            <w:r>
              <w:rPr/>
              <w:t> </w:t>
            </w:r>
          </w:p>
        </w:tc>
      </w:tr>
      <w:tr>
        <w:trPr/>
        <w:tc>
          <w:tcPr>
            <w:tcW w:w="2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br/>
              <w:t>   relative to 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jc w:val="right"/>
              <w:rPr/>
            </w:pPr>
            <w:r>
              <w:rPr/>
              <w:t> </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 to</w:t>
              <w:br/>
              <w:t>   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561" w:type="dxa"/>
            <w:tcBorders/>
            <w:shd w:fill="FFFFFF" w:val="clear"/>
            <w:vAlign w:val="center"/>
          </w:tcPr>
          <w:p>
            <w:pPr>
              <w:pStyle w:val="TableContents"/>
              <w:bidi w:val="0"/>
              <w:spacing w:before="0" w:after="283"/>
              <w:jc w:val="right"/>
              <w:rPr/>
            </w:pPr>
            <w:r>
              <w:rPr/>
              <w:t> </w:t>
            </w:r>
          </w:p>
        </w:tc>
      </w:tr>
      <w:tr>
        <w:trPr/>
        <w:tc>
          <w:tcPr>
            <w:tcW w:w="27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31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color w:val="000000"/>
              </w:rPr>
            </w:pPr>
            <w:r>
              <w:rPr>
                <w:color w:val="000000"/>
              </w:rPr>
              <w:t>—</w:t>
            </w:r>
          </w:p>
        </w:tc>
        <w:tc>
          <w:tcPr>
            <w:tcW w:w="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September 30,</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4" w:space="1" w:color="000000"/>
        </w:pBdr>
        <w:bidi w:val="0"/>
        <w:spacing w:before="12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Wholesale Brokerage segment’s total revenues for the three months ended September 30, 2024 increased 14.0%, or $21 million, as compared to the same period in 2023, to $171 million. The $14 million net increase in core commissions and fees revenue was driven primarily by: (i) $12 million related to net new and renewal business and (ii) $2 million related to the core commissions and fees revenue from acquisitions that had no comparable revenues in the same period of 2023. Profit-sharing contingent commissions for the third quarter of 2024 increased $6 million compared to the third quarter of 2023, driven by improved underwriting results, increased written premium and finalization of prior year estimates of profit-sharing contingent commissions. The Wholesale Brokerage segment’s growth rate for total commissions and fees was 13.4%, and the Organic Revenue growth rate was 8.4% for the third quarter of 2024. The Organic Revenue growth rate was driven by net new business and a combination of rate and exposure unit increases.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for the three months ended September 30, 2024 increased 133.3%, or $32 million, as compared to the same period in 2023, to $56 million due to: (i) the growth of EBITDAC - Adjusted described below and (ii) a decrease in the change in estimated acquisition earn-out payables.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EBITDAC - Adjusted for the three months ended September 30, 2024 increased 17.9%, or $10 million, as compared to the same period in 2023, to $66 million. EBITDAC Margin - Adjusted for the three months ended September 30, 2024 increased to 38.6% from 37.3%, as compared to the same period in 2023. EBITDAC Margin - Adjusted increased due to: (i) total revenues growth and (ii) leveraging our expense base.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Wholesale Brokerage segment’s total revenues for the nine months ended September 30, 2024 increased 14.6%, or $60 million, as compared to the same period in 2023, to $472 million. The $48 million net increase in core commissions and fees revenue was driven primarily by: (i) $39 million related to net new and renewal business; (ii) $7 million related to core commissions and fees revenue from acquisitions and dispositions that had no comparable revenues in the same period of 2023; and (iii) an increase from the impact of Foreign Currency Translation of $1 million. Profit-sharing contingent commissions for the first nine months of 2024 increased approximately $9 million compared to the same period of 2023 driven by improved underwriting results, increased written premium, finalization of prior-year estimates and acquisitions completed in the past twelve months. The Wholesale Brokerage segment’s growth rate for total commissions and fees was 13.9%, and the Organic Revenue growth rate was 9.8% for the first nine months of 2024. The Organic Revenue growth rate was driven by strong new business and good retention, as well as a combination of rate and exposure unit increases.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for the nine months ended September 30, 2024 increased 55.9%, or $52 million, as compared to the same period in 2023, to $145 million due to: (i) the growth of EBITDAC - Adjusted described below and (ii) a decrease in the change in estimated acquisition earn-out payables.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EBITDAC - Adjusted for the nine months ended September 30, 2024 increased 21.2%, or $29 million, as compared to the same period in 2023, to $166 million. EBITDAC Margin - Adjusted for the nine months ended September 30, 2024 increased to 35.2% from 33.3% in the same period in 2023 due to: (i) total revenues growth; (ii) certain nonrecurring operating expenses in the prior year; and (iii) leveraging our expense base.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12 of the Notes to Condensed Consolidated Financial Statements, the “Other” column in the Segment Information table includes any revenue and expenses not allocated to reportable segments, and corporate-related items, including the intercompany interest expense charges to reporting segments.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seeks to maintain a conservative balance sheet and strong liquidity profile. Our capital requirements to operate as an insurance intermediary are low and we have been able to grow and invest in our business through a combination of cash that has been generated from operations, the disciplined use of debt and the issuance of equity as part of the purchase price consideration to acquire certain businesses. We have the ability to utilize our Revolving Credit Facility, which as of September 30, 2024 provided up to $800 million in available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contains an expansion option for up to an additional $500 million of borrowing capacity, subject to the approval of participating lenders. On March 31, 2022, the Company entered into a Loan Agreement (the “Loan Agreement") which provided term loan capacity of $800 million. Additionally, the Company may, subject to satisfaction of certain conditions, including receipt of additional term loan commitments by new or existing lenders, increase either Term Loan Commitment under the existing Loan Agreement or the term loans issued thereunder or issue new tranches of term loans in an aggregate additional amount of up to $400 million. Including the expansion options under all existing credit agreements, the Company has access to up to $1,700 million of incremental borrowing capacity as of September 30,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we have access to additional funds, if needed, through the capital markets or private placements to obtain further debt financing under the current market conditions. The Company believes that its existing cash, cash equivalents, short-term investment portfolio and funds generated from operations, together with the funds available under the Revolving Credit Facility, will be sufficient to satisfy its normal liquidity needs, including principal payments on our long-term debt, for at least the next twelve months and in the long-term.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to September 30, 2024, the Company exercised a draw down on the Revolving Credit Facility for $350 million in connection with the pending acquisition of Quintes Holding B.V. that is expected to close in the fourth quarter of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Contractual Cash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our contractual cash obligations were as follows:</w:t>
      </w:r>
    </w:p>
    <w:tbl>
      <w:tblPr>
        <w:tblW w:w="9874" w:type="dxa"/>
        <w:jc w:val="left"/>
        <w:tblInd w:w="0" w:type="dxa"/>
        <w:tblLayout w:type="fixed"/>
        <w:tblCellMar>
          <w:top w:w="28" w:type="dxa"/>
          <w:left w:w="28" w:type="dxa"/>
          <w:bottom w:w="28" w:type="dxa"/>
          <w:right w:w="28" w:type="dxa"/>
        </w:tblCellMar>
      </w:tblPr>
      <w:tblGrid>
        <w:gridCol w:w="4411"/>
        <w:gridCol w:w="146"/>
        <w:gridCol w:w="211"/>
        <w:gridCol w:w="571"/>
        <w:gridCol w:w="146"/>
        <w:gridCol w:w="146"/>
        <w:gridCol w:w="260"/>
        <w:gridCol w:w="520"/>
        <w:gridCol w:w="146"/>
        <w:gridCol w:w="146"/>
        <w:gridCol w:w="211"/>
        <w:gridCol w:w="571"/>
        <w:gridCol w:w="146"/>
        <w:gridCol w:w="146"/>
        <w:gridCol w:w="211"/>
        <w:gridCol w:w="421"/>
        <w:gridCol w:w="146"/>
        <w:gridCol w:w="146"/>
        <w:gridCol w:w="211"/>
        <w:gridCol w:w="571"/>
        <w:gridCol w:w="3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2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w:t>
              <w:br/>
              <w:t>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391" w:type="dxa"/>
            <w:tcBorders/>
            <w:shd w:fill="CFF0FC" w:val="cle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91" w:type="dxa"/>
            <w:tcBorders/>
            <w:shd w:fill="FFFFFF" w:val="cle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leases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91" w:type="dxa"/>
            <w:tcBorders/>
            <w:shd w:fill="CFF0FC" w:val="cle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391" w:type="dxa"/>
            <w:tcBorders/>
            <w:shd w:fill="FFFFFF" w:val="cle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Maximum future acquisition contingent payments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Total contractual cash obligations </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Includes $1.0 million of future lease commitments expected to commence later in 2024.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Includes $137 million of current and non-current estimated acquisition earn-out payables. Earn-out payables for acquisitions not denominated in U.S. dollars are measured at the current foreign exchange rate. Six of the estimated acquisition earn-out payables assumed included provisions with no maximum potential earn-out amount. The amount recorded for these acquisitions as of September 30, 2024 is $4 million. The Company deems a significant increase to this amount to be unlikely.</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Does not include approximately $43 million of current liability for a dividend of $0.1500 per share approved by the Board of Directors on October 23,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debt at September 30, 2024 was $3,592 million net of unamortized discount and debt issuance costs, which was a decrease of $204 million compared to December 31, 2023. The decrease includes: the repayment of $800 million in senior notes and floating-rate debt balances net of Revolving Credit Facility activity and the addition of deferred financing costs and discount on debt of $7 million; offset by the issuance of $600 million senior notes and the amortization of discounted debt related to our various unsecured senior notes and debt issuance cost amortization of $3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the Company repaid $19 million of principal related to the Second Amended and Restated Credit Agreement term loan through the quarterly scheduled principal payments. The Second Amended and Restated Credit Agreement term loan had an outstanding balance of $200 million as of September 30, 2024. The Company's next scheduled principal payment is due in December 2024 and is equal to $6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the Company repaid $31 million of principal related to the Term Loans issued under the Term A-2 Loan Commitment (“Term A-2 Loans”) through quarterly scheduled principal payments. The Term A-2 Loans had an outstanding balance of $425 million as of September 30, 2024. The Company’s next scheduled principal payment is due in December 2024 and is equal to $13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the Company repaid $150 million of principal related to the Term Loans issued under the Term A-1 Loan Commitment (“Term A-1 Loans”). The Term A-1 Loans had an outstanding balance of $150 million as of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13, 2024, the Company drew down on the Revolving Credit Facility $150 million, and the proceeds were used for general corporate purposes. During the nine months ended September 30, 2024, the Company repaid $250 million of the outstanding balance on the Revolving Credit Facility. The Revolving Credit Facility had no outstanding balance as of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11, 2024, the Company completed the issuance of $600 million aggregate principal amount of 5.650% Senior Notes due 2034 (the “2034 Senior Notes”). The net proceeds to the Company from the issuance of the 2034 Senior Notes, after deducting underwriting discounts and estimated offering expenses, were approximately $593 million. The 2034 Senior Notes were given investment grade ratings of BBB- stable outlook and Baa3 positive outlook. The 2034 Senior Notes will mature in June 2034. Interest on the 2034 Senior Notes will be payable semi-annually in arrears. The 2034 Senior Notes are senior unsecured obligations of the Company and will rank equal in right of payment to all of the Company’s existing and future senior unsecured indebtedness. The Company may redeem the 2034 Senior Notes in whole or in part at any time and from time to time, at the “make whole” redemption prices specified in the prospectus supplement for the 2034 Senior Notes being redeemed, plus accrued and unpaid interest thereon. In September 2024, the Company used a portion of the proceeds from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2034 Senior Notes to repay $500 million of the 4.200% senior notes due September 2024. In June 2024, the Company also used $100 million of the proceeds to repay a portion of an outstanding term loan balance. As of September 30, 2024 there was a total outstanding debt balance of $600 million exclusive of the associated discount balance on the 2034 Senior Notes.</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risk is the potential loss arising from adverse changes in market rates and prices, such as interest rates, foreign exchange rates and equity prices. We are exposed to market risk through our investments, revolving credit line, term loan agreements and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invested assets are held primarily as cash and cash equivalents, restricted cash, available-for-sale marketable debt securities, non-marketable debt securities, certificates of deposit, U.S. Treasury securities, and professionally managed short-term duration fixed income funds. These investments are subject to interest rate risk. The fair value of our invested assets at September 30, 2024 and December 31, 2023 approximated their respective carrying values due to their short-term duration and therefore, such market risk is not considered to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actively invest or trade in equity securities. In addition, we generally dispose of any significant equity securities received in conjunction with an acquisition shortly after the acquisition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we had $775 million outstanding under the Second Amended and Restated Credit Agreement and the Loan Agreement tied to the Secured Overnight Financing Rate (“SOFR”). These agreements bear interest on a floating basis and are therefore subject to changes in the associated interest expense. The effect of an immediate hypothetical 10% change in interest rates would not have a material effect on our Condensed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international operations do not have material transactions in currencies other than their functional currency which would expose the Company to transactional currency rate risk. We are subject to translational exchange rate risk having businesses operating outside of the U.S. in the following functional currencies, British pounds, Canadian dollar, and euros. Based upon our foreign currency rate exposure as of September 30, 2024, an immediate 10% hypothetical change of foreign currency exchange rates would not have a material effect on our Condensed Consolidated Financial Statements.</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carried out an evaluation (the “Evaluation”) required by Rules 13a-15 and 15d-15 under the Securities Exchange Act of 1934, as amended (the “Exchange Act”), under the supervision and with the participation of our Chief Executive Officer (“CEO”) and Chief Financial Officer (“CFO”), of the effectiveness of our disclosure controls and procedures as defined in Rule 13a-15 and 15d-15 under the Exchange Act (“Disclosure Controls”) as of September 30, 2024. Based upon the Evaluation, our CEO and CFO concluded that the design and operation of our Disclosure Controls were effective to ensure that information required to be disclosed by us in reports that we file or submit under the Exchange Act is (i) recorded, processed, summarized and reported within the time periods specified in SEC rules and forms and (ii) accumulated and communicated to our senior management, including our CEO and CFO, to allow timely decisions regarding required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not been any change in our internal control over financial reporting identified in connection with the Evaluation that occurred during the quarter ended September 30, 2024, that has materially affected, or is reasonably likely to materially affect, our internal control over financial reporting.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Inherent Limitations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CEO and CFO, does not expect that our Disclosure Controls and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CEO and CFO Certifications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 31.1 and 31.2 are the Certifications of the CEO and the CFO, respectively. The Certifications are supplied in accordance with Section 302 of the Sarbanes-Oxley Act of 2002 (the “Section 302 Certifications”). This Item 4 of Part I of this Quarterly Report on Form 10-Q contains the information concerning the evaluation referred to in the Section 302 Certifications and this information should be read in conjunction with the Section 302 Certifications for a more complete understanding of the topics presented.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part_ii"/>
      <w:bookmarkEnd w:id="1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Item 3 of Part I of the Company’s Annual Report on Form 10-K for its fiscal year ended December 31, 2023, certain information concerning litigation claims arising in the ordinary course of business was disclosed. Such information was current as of the date of filing. During the Company’s fiscal quarter ended September 30, 2024, no new legal proceedings, or material developments with respect to existing legal proceedings, occurred which require disclosure in this Quarterly Report on Form 10-Q.</w:t>
      </w:r>
    </w:p>
    <w:p>
      <w:pPr>
        <w:pStyle w:val="TextBody"/>
        <w:bidi w:val="0"/>
        <w:spacing w:before="24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material changes in the risk factors previously disclosed in Item 1A, “Risk Factors” of the Company’s Annual Report on Form 10-K for the year ended December 31, 2023.</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about our repurchase of shares of our common stock during the three months ended September 30,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31"/>
        <w:gridCol w:w="146"/>
        <w:gridCol w:w="318"/>
        <w:gridCol w:w="758"/>
        <w:gridCol w:w="146"/>
        <w:gridCol w:w="146"/>
        <w:gridCol w:w="420"/>
        <w:gridCol w:w="689"/>
        <w:gridCol w:w="146"/>
        <w:gridCol w:w="146"/>
        <w:gridCol w:w="409"/>
        <w:gridCol w:w="977"/>
        <w:gridCol w:w="146"/>
        <w:gridCol w:w="146"/>
        <w:gridCol w:w="627"/>
        <w:gridCol w:w="1258"/>
        <w:gridCol w:w="39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w:t>
              <w:br/>
              <w:t>as part of 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Maximum value of shares</w:t>
              <w:br/>
              <w:t>that may yet be</w:t>
              <w:br/>
              <w:t>purchased</w:t>
              <w:br/>
              <w:t>under the plans</w:t>
              <w:br/>
              <w:t xml:space="preserve">or programs </w:t>
            </w:r>
            <w:r>
              <w:rPr>
                <w:rFonts w:ascii="Times New Roman" w:hAnsi="Times New Roman"/>
                <w:b/>
                <w:color w:val="000000"/>
                <w:sz w:val="11"/>
              </w:rPr>
              <w:t>(1)(2)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2024 to July 31, 2024</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6"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 2024 to August 31, 2024</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6"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2024 to September 30, 2024</w:t>
            </w:r>
          </w:p>
        </w:tc>
        <w:tc>
          <w:tcPr>
            <w:tcW w:w="146" w:type="dxa"/>
            <w:tcBorders/>
            <w:shd w:fill="CFF0FC" w:val="cle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On July 18, 2014, the Board of Directors authorized the repurchase of up to $200.0 million of the Company's shares of common stock, and on July 20, 2015, the Board of Directors authorized the repurchase of an additional $400.0 million of the Company's shares of common stock. On May 1, 2019, the Board of Directors approved an additional repurchase authorization amount of $372.5 million to bring the total available share repurchase authorization to approximately $500.0 million. After completing these open market repurchases, the Company’s outstanding Board approved share repurchase authorization is approximately $249.5 million. Between January 1, 2014 and September 30, 2024, the Company repurchased a total of approximately 20 million shares for an aggregate cost of approximately $748 million.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Dollar values stated in millions.</w:t>
      </w:r>
    </w:p>
    <w:p>
      <w:pPr>
        <w:pStyle w:val="TextBody"/>
        <w:bidi w:val="0"/>
        <w:jc w:val="left"/>
        <w:rPr/>
      </w:pPr>
      <w:r>
        <w:rPr/>
        <w:t> </w:t>
      </w:r>
    </w:p>
    <w:p>
      <w:pPr>
        <w:pStyle w:val="TextBody"/>
        <w:bidi w:val="0"/>
        <w:jc w:val="left"/>
        <w:rPr>
          <w:rFonts w:ascii="Times New Roman" w:hAnsi="Times New Roman"/>
          <w:b/>
          <w:color w:val="000000"/>
          <w:sz w:val="20"/>
        </w:rPr>
      </w:pPr>
      <w:bookmarkStart w:id="18" w:name="itme_5_other_information"/>
      <w:bookmarkEnd w:id="18"/>
      <w:r>
        <w:rPr>
          <w:rFonts w:ascii="Times New Roman" w:hAnsi="Times New Roman"/>
          <w:b/>
          <w:color w:val="000000"/>
          <w:sz w:val="20"/>
        </w:rPr>
        <w:t>ITEM 5. Other Information</w:t>
      </w:r>
    </w:p>
    <w:p>
      <w:pPr>
        <w:pStyle w:val="TextBody"/>
        <w:bidi w:val="0"/>
        <w:jc w:val="left"/>
        <w:rPr>
          <w:rFonts w:ascii="Times New Roman" w:hAnsi="Times New Roman"/>
          <w:color w:val="000000"/>
          <w:sz w:val="20"/>
        </w:rPr>
      </w:pPr>
      <w:r>
        <w:rPr>
          <w:rFonts w:ascii="Times New Roman" w:hAnsi="Times New Roman"/>
          <w:color w:val="000000"/>
          <w:sz w:val="20"/>
        </w:rPr>
        <w:t>During the third quarter of 2024, none of the Company’s officers or directors adopted or terminated any “Rule 10b5-1 trading arrangement” or any “non-Rule 10b5-1 trading arrangement,” as each term is defined in Item 408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as a part of this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1"/>
        <w:gridCol w:w="176"/>
        <w:gridCol w:w="9398"/>
      </w:tblGrid>
      <w:tr>
        <w:trPr/>
        <w:tc>
          <w:tcPr>
            <w:tcW w:w="6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398" w:type="dxa"/>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3.1</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9398"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Articles of Incorporation of the Company (adopted January 18, 2023) (incorporated by reference to Exhibit 3.1 to Form 8-K filed on January 19, 2023).</w:t>
              </w:r>
            </w:hyperlink>
          </w:p>
        </w:tc>
      </w:tr>
      <w:tr>
        <w:trPr/>
        <w:tc>
          <w:tcPr>
            <w:tcW w:w="631"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3.2</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9398"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(incorporated by reference to Exhibit 3.2 to Form 8-K filed on January 19, 2023).</w:t>
              </w:r>
            </w:hyperlink>
          </w:p>
        </w:tc>
      </w:tr>
      <w:tr>
        <w:trPr/>
        <w:tc>
          <w:tcPr>
            <w:tcW w:w="631"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30" w:right="0" w:firstLine="30"/>
              <w:jc w:val="left"/>
              <w:rPr/>
            </w:pPr>
            <w:r>
              <w:rPr/>
              <w:t> </w:t>
            </w:r>
          </w:p>
        </w:tc>
        <w:tc>
          <w:tcPr>
            <w:tcW w:w="9398" w:type="dxa"/>
            <w:tcBorders/>
            <w:vAlign w:val="center"/>
          </w:tcPr>
          <w:p>
            <w:pPr>
              <w:pStyle w:val="TableContents"/>
              <w:bidi w:val="0"/>
              <w:spacing w:before="0" w:after="283"/>
              <w:jc w:val="left"/>
              <w:rPr/>
            </w:pPr>
            <w:r>
              <w:rPr/>
              <w:t> </w:t>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31.1</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9398" w:type="dxa"/>
            <w:tcBorders/>
            <w:vAlign w:val="center"/>
          </w:tcPr>
          <w:p>
            <w:pPr>
              <w:pStyle w:val="TableContents"/>
              <w:bidi w:val="0"/>
              <w:spacing w:before="0" w:after="283"/>
              <w:jc w:val="left"/>
              <w:rPr/>
            </w:pPr>
            <w:hyperlink w:anchor="bro-ex31_1.htm">
              <w:r>
                <w:rPr>
                  <w:rStyle w:val="InternetLink"/>
                  <w:rFonts w:ascii="Times New Roman" w:hAnsi="Times New Roman"/>
                  <w:color w:val="0000FF"/>
                  <w:sz w:val="20"/>
                  <w:u w:val="single"/>
                </w:rPr>
                <w:t>Rule 13a-14(a)/15d-14(a) Certification by the Chief Executive Officer of the Registrant.</w:t>
              </w:r>
            </w:hyperlink>
          </w:p>
        </w:tc>
      </w:tr>
      <w:tr>
        <w:trPr/>
        <w:tc>
          <w:tcPr>
            <w:tcW w:w="631"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31.2</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9398" w:type="dxa"/>
            <w:tcBorders/>
            <w:vAlign w:val="center"/>
          </w:tcPr>
          <w:p>
            <w:pPr>
              <w:pStyle w:val="TableContents"/>
              <w:bidi w:val="0"/>
              <w:spacing w:before="0" w:after="283"/>
              <w:jc w:val="left"/>
              <w:rPr/>
            </w:pPr>
            <w:hyperlink w:anchor="bro-ex31_2.htm">
              <w:r>
                <w:rPr>
                  <w:rStyle w:val="InternetLink"/>
                  <w:rFonts w:ascii="Times New Roman" w:hAnsi="Times New Roman"/>
                  <w:color w:val="0000FF"/>
                  <w:sz w:val="20"/>
                  <w:u w:val="single"/>
                </w:rPr>
                <w:t>Rule 13a-14(a)/15d-14(a) Certification by the Chief Financial Officer of the Registrant.</w:t>
              </w:r>
            </w:hyperlink>
          </w:p>
        </w:tc>
      </w:tr>
      <w:tr>
        <w:trPr/>
        <w:tc>
          <w:tcPr>
            <w:tcW w:w="631"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32.1</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9398" w:type="dxa"/>
            <w:tcBorders/>
            <w:vAlign w:val="center"/>
          </w:tcPr>
          <w:p>
            <w:pPr>
              <w:pStyle w:val="TableContents"/>
              <w:bidi w:val="0"/>
              <w:spacing w:before="0" w:after="283"/>
              <w:jc w:val="left"/>
              <w:rPr/>
            </w:pPr>
            <w:hyperlink w:anchor="bro-ex32_1.htm">
              <w:r>
                <w:rPr>
                  <w:rStyle w:val="InternetLink"/>
                  <w:rFonts w:ascii="Times New Roman" w:hAnsi="Times New Roman"/>
                  <w:color w:val="0000FF"/>
                  <w:sz w:val="20"/>
                  <w:u w:val="single"/>
                </w:rPr>
                <w:t>Section 1350 Certification by the Chief Executive Officer of the Registrant.</w:t>
              </w:r>
            </w:hyperlink>
          </w:p>
        </w:tc>
      </w:tr>
      <w:tr>
        <w:trPr/>
        <w:tc>
          <w:tcPr>
            <w:tcW w:w="631"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32.2</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9398" w:type="dxa"/>
            <w:tcBorders/>
            <w:vAlign w:val="center"/>
          </w:tcPr>
          <w:p>
            <w:pPr>
              <w:pStyle w:val="TableContents"/>
              <w:bidi w:val="0"/>
              <w:spacing w:before="0" w:after="283"/>
              <w:jc w:val="left"/>
              <w:rPr/>
            </w:pPr>
            <w:hyperlink w:anchor="bro-ex32_2.htm">
              <w:r>
                <w:rPr>
                  <w:rStyle w:val="InternetLink"/>
                  <w:rFonts w:ascii="Times New Roman" w:hAnsi="Times New Roman"/>
                  <w:color w:val="0000FF"/>
                  <w:sz w:val="20"/>
                  <w:u w:val="single"/>
                </w:rPr>
                <w:t>Section 1350 Certification by the Chief Financial Officer of the Registrant.</w:t>
              </w:r>
            </w:hyperlink>
          </w:p>
        </w:tc>
      </w:tr>
      <w:tr>
        <w:trPr/>
        <w:tc>
          <w:tcPr>
            <w:tcW w:w="631"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101</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93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financial statements from the Company’s Quarterly Report on Form 10-Q for the quarter ended September 30, 2024, formatted in inline XBRL, include: (i) Condensed Consolidated Statements of Income, (ii) Condensed Consolidated Balance Sheets, (iii) Condensed Consolidated Statements of Comprehensive Income, (iv) Condensed Consolidated Statements of Equity, (v) Condensed Consolidated Statements of Cash Flows and (vi) the Notes to the Condensed Consolidated Financial Statements.</w:t>
            </w:r>
          </w:p>
        </w:tc>
      </w:tr>
      <w:tr>
        <w:trPr/>
        <w:tc>
          <w:tcPr>
            <w:tcW w:w="631"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104</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93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XBRL and included in Exhibit 101).</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9388" w:type="dxa"/>
        <w:jc w:val="left"/>
        <w:tblInd w:w="0" w:type="dxa"/>
        <w:tblLayout w:type="fixed"/>
        <w:tblCellMar>
          <w:top w:w="28" w:type="dxa"/>
          <w:left w:w="28" w:type="dxa"/>
          <w:bottom w:w="28" w:type="dxa"/>
          <w:right w:w="28" w:type="dxa"/>
        </w:tblCellMar>
      </w:tblPr>
      <w:tblGrid>
        <w:gridCol w:w="2011"/>
        <w:gridCol w:w="146"/>
        <w:gridCol w:w="723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3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3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BROWN &amp; BROWN, INC.</w:t>
            </w:r>
          </w:p>
        </w:tc>
      </w:tr>
      <w:tr>
        <w:trPr/>
        <w:tc>
          <w:tcPr>
            <w:tcW w:w="20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31" w:type="dxa"/>
            <w:tcBorders/>
            <w:vAlign w:val="center"/>
          </w:tcPr>
          <w:p>
            <w:pPr>
              <w:pStyle w:val="TableContents"/>
              <w:bidi w:val="0"/>
              <w:spacing w:before="0" w:after="283"/>
              <w:jc w:val="left"/>
              <w:rPr/>
            </w:pPr>
            <w:r>
              <w:rPr/>
              <w:t> </w:t>
            </w:r>
          </w:p>
        </w:tc>
      </w:tr>
      <w:tr>
        <w:trPr/>
        <w:tc>
          <w:tcPr>
            <w:tcW w:w="20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Andrew Watts</w:t>
            </w:r>
          </w:p>
        </w:tc>
      </w:tr>
      <w:tr>
        <w:trPr/>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28, 2024</w:t>
            </w:r>
          </w:p>
        </w:tc>
        <w:tc>
          <w:tcPr>
            <w:tcW w:w="146" w:type="dxa"/>
            <w:tcBorders/>
            <w:vAlign w:val="center"/>
          </w:tcPr>
          <w:p>
            <w:pPr>
              <w:pStyle w:val="TableContents"/>
              <w:bidi w:val="0"/>
              <w:spacing w:before="0" w:after="283"/>
              <w:jc w:val="left"/>
              <w:rPr/>
            </w:pPr>
            <w:r>
              <w:rPr/>
              <w:t> </w:t>
            </w:r>
          </w:p>
        </w:tc>
        <w:tc>
          <w:tcPr>
            <w:tcW w:w="72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Andrew Watts</w:t>
            </w:r>
          </w:p>
        </w:tc>
      </w:tr>
      <w:tr>
        <w:trPr/>
        <w:tc>
          <w:tcPr>
            <w:tcW w:w="20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Executive Vice President, Chief Financial Officer and Treasurer</w:t>
            </w:r>
          </w:p>
        </w:tc>
      </w:tr>
      <w:tr>
        <w:trPr/>
        <w:tc>
          <w:tcPr>
            <w:tcW w:w="20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(duly authorized officer, 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bookmarkStart w:id="21" w:name="bro-ex31_1.htm"/>
      <w:bookmarkStart w:id="22" w:name="ksbro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J. Powell Brown,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of Brown &amp; Brown, Inc. (the “Registrant”) on Form 10-Q for the quarter ended September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October 28, 2024</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32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Powell Brown</w:t>
            </w:r>
          </w:p>
        </w:tc>
      </w:tr>
      <w:tr>
        <w:trPr/>
        <w:tc>
          <w:tcPr>
            <w:tcW w:w="325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 Powell Brown</w:t>
            </w:r>
          </w:p>
        </w:tc>
      </w:tr>
      <w:tr>
        <w:trPr/>
        <w:tc>
          <w:tcPr>
            <w:tcW w:w="325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bro-ex31_2.htm"/>
      <w:bookmarkStart w:id="24" w:name="ksbro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R. Andrew Watts,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of Brown &amp; Brown, Inc. (the “Registrant”) on Form 10-Q for the quarter ended September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October 28, 2024</w:t>
      </w:r>
    </w:p>
    <w:p>
      <w:pPr>
        <w:pStyle w:val="TextBody"/>
        <w:bidi w:val="0"/>
        <w:jc w:val="left"/>
        <w:rPr/>
      </w:pPr>
      <w:r>
        <w:rPr/>
        <w:t> </w:t>
      </w:r>
    </w:p>
    <w:tbl>
      <w:tblPr>
        <w:tblW w:w="5296" w:type="dxa"/>
        <w:jc w:val="left"/>
        <w:tblInd w:w="0" w:type="dxa"/>
        <w:tblLayout w:type="fixed"/>
        <w:tblCellMar>
          <w:top w:w="28" w:type="dxa"/>
          <w:left w:w="28" w:type="dxa"/>
          <w:bottom w:w="28" w:type="dxa"/>
          <w:right w:w="28" w:type="dxa"/>
        </w:tblCellMar>
      </w:tblPr>
      <w:tblGrid>
        <w:gridCol w:w="5296"/>
      </w:tblGrid>
      <w:tr>
        <w:trPr/>
        <w:tc>
          <w:tcPr>
            <w:tcW w:w="5296" w:type="dxa"/>
            <w:tcBorders/>
            <w:vAlign w:val="center"/>
          </w:tcPr>
          <w:p>
            <w:pPr>
              <w:pStyle w:val="TableContents"/>
              <w:bidi w:val="0"/>
              <w:spacing w:before="0" w:after="283"/>
              <w:jc w:val="left"/>
              <w:rPr>
                <w:sz w:val="4"/>
                <w:szCs w:val="4"/>
              </w:rPr>
            </w:pPr>
            <w:r>
              <w:rPr>
                <w:sz w:val="4"/>
                <w:szCs w:val="4"/>
              </w:rPr>
            </w:r>
          </w:p>
        </w:tc>
      </w:tr>
      <w:tr>
        <w:trPr/>
        <w:tc>
          <w:tcPr>
            <w:tcW w:w="52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Andrew Watts</w:t>
            </w:r>
          </w:p>
        </w:tc>
      </w:tr>
      <w:tr>
        <w:trPr/>
        <w:tc>
          <w:tcPr>
            <w:tcW w:w="52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Andrew Watts</w:t>
            </w:r>
          </w:p>
        </w:tc>
      </w:tr>
      <w:tr>
        <w:trPr/>
        <w:tc>
          <w:tcPr>
            <w:tcW w:w="52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bro-ex32_1.htm"/>
      <w:bookmarkStart w:id="26" w:name="ksbro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1350 of Title 18 of the United States Code, as Adopted</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Brown &amp; Brown, Inc. (the “Company”) on Form 10-Q for the quarter ended September 30, 2024, as filed with the Securities and Exchange Commission on the date hereof (the “Form 10-Q”), I, J. Powell Brown, Chief Executive Officer of the Company, hereby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Form 10-Q fully complies with the requirements of Section 13(a) or 15(d) of the Securities Exchange Act of 1934 (15 U.S.C. § 78m or § 78o(d));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Form 10-Q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October 28, 2024</w:t>
      </w:r>
    </w:p>
    <w:p>
      <w:pPr>
        <w:pStyle w:val="TextBody"/>
        <w:bidi w:val="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vAlign w:val="center"/>
          </w:tcPr>
          <w:p>
            <w:pPr>
              <w:pStyle w:val="TableContents"/>
              <w:bidi w:val="0"/>
              <w:spacing w:before="0" w:after="283"/>
              <w:jc w:val="left"/>
              <w:rPr/>
            </w:pPr>
            <w:r>
              <w:rPr/>
              <w:t> </w:t>
            </w:r>
          </w:p>
        </w:tc>
      </w:tr>
      <w:tr>
        <w:trPr/>
        <w:tc>
          <w:tcPr>
            <w:tcW w:w="3256" w:type="dxa"/>
            <w:tcBorders/>
            <w:vAlign w:val="center"/>
          </w:tcPr>
          <w:p>
            <w:pPr>
              <w:pStyle w:val="TableContents"/>
              <w:bidi w:val="0"/>
              <w:spacing w:before="0" w:after="283"/>
              <w:ind w:left="0" w:right="0" w:firstLine="30"/>
              <w:jc w:val="left"/>
              <w:rPr/>
            </w:pPr>
            <w:r>
              <w:rPr/>
              <w:t> </w:t>
            </w:r>
          </w:p>
        </w:tc>
      </w:tr>
      <w:tr>
        <w:trPr/>
        <w:tc>
          <w:tcPr>
            <w:tcW w:w="325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32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Powell Brown</w:t>
            </w:r>
          </w:p>
        </w:tc>
      </w:tr>
      <w:tr>
        <w:trPr/>
        <w:tc>
          <w:tcPr>
            <w:tcW w:w="325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 Powell Brown</w:t>
            </w:r>
          </w:p>
        </w:tc>
      </w:tr>
      <w:tr>
        <w:trPr/>
        <w:tc>
          <w:tcPr>
            <w:tcW w:w="325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bro-ex32_2.htm"/>
      <w:bookmarkStart w:id="28" w:name="ksbro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1350 of Title 18 of the United States Code, as Adopted</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Brown &amp; Brown, Inc. (the “Company”) on Form 10-Q for the quarter ended September 30, 2024, as filed with the Securities and Exchange Commission on the date hereof (the “Form 10-Q”), I, R. Andrew Watts, Chief Financial Officer of the Company, hereby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Form 10-Q fully complies with the requirements of Section 13(a) or 15(d) of the Securities Exchange Act of 1934 (15 U.S.C. § 78m or § 78o(d));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Form 10-Q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October 28, 2024</w:t>
      </w:r>
    </w:p>
    <w:p>
      <w:pPr>
        <w:pStyle w:val="TextBody"/>
        <w:bidi w:val="0"/>
        <w:jc w:val="left"/>
        <w:rPr/>
      </w:pPr>
      <w:r>
        <w:rPr/>
        <w:t> </w:t>
      </w:r>
    </w:p>
    <w:tbl>
      <w:tblPr>
        <w:tblW w:w="5326" w:type="dxa"/>
        <w:jc w:val="left"/>
        <w:tblInd w:w="0" w:type="dxa"/>
        <w:tblLayout w:type="fixed"/>
        <w:tblCellMar>
          <w:top w:w="28" w:type="dxa"/>
          <w:left w:w="28" w:type="dxa"/>
          <w:bottom w:w="28" w:type="dxa"/>
          <w:right w:w="28" w:type="dxa"/>
        </w:tblCellMar>
      </w:tblPr>
      <w:tblGrid>
        <w:gridCol w:w="5326"/>
      </w:tblGrid>
      <w:tr>
        <w:trPr/>
        <w:tc>
          <w:tcPr>
            <w:tcW w:w="5326" w:type="dxa"/>
            <w:tcBorders/>
            <w:vAlign w:val="center"/>
          </w:tcPr>
          <w:p>
            <w:pPr>
              <w:pStyle w:val="TableContents"/>
              <w:bidi w:val="0"/>
              <w:spacing w:before="0" w:after="283"/>
              <w:jc w:val="left"/>
              <w:rPr>
                <w:sz w:val="4"/>
                <w:szCs w:val="4"/>
              </w:rPr>
            </w:pPr>
            <w:r>
              <w:rPr>
                <w:sz w:val="4"/>
                <w:szCs w:val="4"/>
              </w:rPr>
            </w:r>
          </w:p>
        </w:tc>
      </w:tr>
      <w:tr>
        <w:trPr/>
        <w:tc>
          <w:tcPr>
            <w:tcW w:w="5326" w:type="dxa"/>
            <w:tcBorders/>
            <w:vAlign w:val="center"/>
          </w:tcPr>
          <w:p>
            <w:pPr>
              <w:pStyle w:val="TableContents"/>
              <w:bidi w:val="0"/>
              <w:spacing w:before="0" w:after="283"/>
              <w:jc w:val="left"/>
              <w:rPr/>
            </w:pPr>
            <w:r>
              <w:rPr/>
              <w:t> </w:t>
            </w:r>
          </w:p>
        </w:tc>
      </w:tr>
      <w:tr>
        <w:trPr/>
        <w:tc>
          <w:tcPr>
            <w:tcW w:w="5326" w:type="dxa"/>
            <w:tcBorders/>
            <w:vAlign w:val="center"/>
          </w:tcPr>
          <w:p>
            <w:pPr>
              <w:pStyle w:val="TableContents"/>
              <w:bidi w:val="0"/>
              <w:spacing w:before="0" w:after="283"/>
              <w:ind w:left="0" w:right="0" w:firstLine="30"/>
              <w:jc w:val="left"/>
              <w:rPr/>
            </w:pPr>
            <w:r>
              <w:rPr/>
              <w:t> </w:t>
            </w:r>
          </w:p>
        </w:tc>
      </w:tr>
      <w:tr>
        <w:trPr/>
        <w:tc>
          <w:tcPr>
            <w:tcW w:w="532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532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R. Andrew Watts</w:t>
            </w:r>
          </w:p>
        </w:tc>
      </w:tr>
      <w:tr>
        <w:trPr/>
        <w:tc>
          <w:tcPr>
            <w:tcW w:w="532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R. Andrew Watts</w:t>
            </w:r>
          </w:p>
        </w:tc>
      </w:tr>
      <w:tr>
        <w:trPr/>
        <w:tc>
          <w:tcPr>
            <w:tcW w:w="532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9282/000095017023000930/bro-ex3_1.htm" TargetMode="External"/><Relationship Id="rId4" Type="http://schemas.openxmlformats.org/officeDocument/2006/relationships/hyperlink" Target="https://www.sec.gov/Archives/edgar/data/79282/000095017023000930/bro-ex3_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24849</Words>
  <Characters>130753</Characters>
  <CharactersWithSpaces>158895</CharactersWithSpaces>
  <Paragraphs>12265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