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765175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55880</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87630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0" w:lineRule="exact"/>
        <w:rPr>
          <w:sz w:val="24"/>
          <w:szCs w:val="24"/>
          <w:color w:val="auto"/>
        </w:rPr>
      </w:pPr>
    </w:p>
    <w:p>
      <w:pPr>
        <w:ind w:left="3880" w:right="1640" w:hanging="3859"/>
        <w:spacing w:after="0" w:line="343" w:lineRule="auto"/>
        <w:tabs>
          <w:tab w:leader="none" w:pos="47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2024</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1"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80" w:lineRule="exact"/>
        <w:rPr>
          <w:sz w:val="24"/>
          <w:szCs w:val="24"/>
          <w:color w:val="auto"/>
        </w:rPr>
      </w:pPr>
    </w:p>
    <w:tbl>
      <w:tblPr>
        <w:tblLayout w:type="fixed"/>
        <w:tblInd w:w="342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304"/>
        </w:trPr>
        <w:tc>
          <w:tcPr>
            <w:tcW w:w="3560" w:type="dxa"/>
            <w:vAlign w:val="bottom"/>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w w:val="99"/>
              </w:rPr>
              <w:t>Commission file number 001-13619</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59690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7" w:lineRule="exact"/>
        <w:rPr>
          <w:sz w:val="24"/>
          <w:szCs w:val="24"/>
          <w:color w:val="auto"/>
        </w:rPr>
      </w:pPr>
    </w:p>
    <w:tbl>
      <w:tblPr>
        <w:tblLayout w:type="fixed"/>
        <w:tblInd w:w="780" w:type="dxa"/>
        <w:tblCellMar>
          <w:top w:w="0" w:type="dxa"/>
          <w:left w:w="0" w:type="dxa"/>
          <w:bottom w:w="0" w:type="dxa"/>
          <w:right w:w="0" w:type="dxa"/>
        </w:tblCellMar>
      </w:tblPr>
      <w:tr>
        <w:trPr>
          <w:trHeight w:val="528"/>
        </w:trPr>
        <w:tc>
          <w:tcPr>
            <w:tcW w:w="7640" w:type="dxa"/>
            <w:vAlign w:val="bottom"/>
            <w:gridSpan w:val="3"/>
          </w:tcPr>
          <w:p>
            <w:pPr>
              <w:jc w:val="center"/>
              <w:ind w:left="1942"/>
              <w:spacing w:after="0"/>
              <w:rPr>
                <w:sz w:val="20"/>
                <w:szCs w:val="20"/>
                <w:color w:val="auto"/>
              </w:rPr>
            </w:pPr>
            <w:r>
              <w:rPr>
                <w:rFonts w:ascii="Times New Roman" w:cs="Times New Roman" w:eastAsia="Times New Roman" w:hAnsi="Times New Roman"/>
                <w:sz w:val="43"/>
                <w:szCs w:val="43"/>
                <w:b w:val="1"/>
                <w:bCs w:val="1"/>
                <w:color w:val="auto"/>
              </w:rPr>
              <w:t>BROWN &amp; BROWN, INC.</w:t>
            </w:r>
          </w:p>
        </w:tc>
        <w:tc>
          <w:tcPr>
            <w:tcW w:w="1640" w:type="dxa"/>
            <w:vAlign w:val="bottom"/>
          </w:tcPr>
          <w:p>
            <w:pPr>
              <w:spacing w:after="0"/>
              <w:rPr>
                <w:sz w:val="24"/>
                <w:szCs w:val="24"/>
                <w:color w:val="auto"/>
              </w:rPr>
            </w:pPr>
          </w:p>
        </w:tc>
      </w:tr>
      <w:tr>
        <w:trPr>
          <w:trHeight w:val="238"/>
        </w:trPr>
        <w:tc>
          <w:tcPr>
            <w:tcW w:w="7640" w:type="dxa"/>
            <w:vAlign w:val="bottom"/>
            <w:gridSpan w:val="3"/>
          </w:tcPr>
          <w:p>
            <w:pPr>
              <w:jc w:val="center"/>
              <w:ind w:left="1962"/>
              <w:spacing w:after="0"/>
              <w:rPr>
                <w:sz w:val="20"/>
                <w:szCs w:val="20"/>
                <w:color w:val="auto"/>
              </w:rPr>
            </w:pPr>
            <w:r>
              <w:rPr>
                <w:rFonts w:ascii="Times New Roman" w:cs="Times New Roman" w:eastAsia="Times New Roman" w:hAnsi="Times New Roman"/>
                <w:sz w:val="18"/>
                <w:szCs w:val="18"/>
                <w:b w:val="1"/>
                <w:bCs w:val="1"/>
                <w:color w:val="auto"/>
                <w:w w:val="99"/>
              </w:rPr>
              <w:t>(Exact name of Registrant as specified in its charter)</w:t>
            </w:r>
          </w:p>
        </w:tc>
        <w:tc>
          <w:tcPr>
            <w:tcW w:w="1640" w:type="dxa"/>
            <w:vAlign w:val="bottom"/>
          </w:tcPr>
          <w:p>
            <w:pPr>
              <w:spacing w:after="0"/>
              <w:rPr>
                <w:sz w:val="20"/>
                <w:szCs w:val="20"/>
                <w:color w:val="auto"/>
              </w:rPr>
            </w:pPr>
          </w:p>
        </w:tc>
      </w:tr>
      <w:tr>
        <w:trPr>
          <w:trHeight w:val="94"/>
        </w:trPr>
        <w:tc>
          <w:tcPr>
            <w:tcW w:w="3720" w:type="dxa"/>
            <w:vAlign w:val="bottom"/>
          </w:tcPr>
          <w:p>
            <w:pPr>
              <w:spacing w:after="0"/>
              <w:rPr>
                <w:sz w:val="8"/>
                <w:szCs w:val="8"/>
                <w:color w:val="auto"/>
              </w:rPr>
            </w:pPr>
          </w:p>
        </w:tc>
        <w:tc>
          <w:tcPr>
            <w:tcW w:w="224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1640" w:type="dxa"/>
            <w:vAlign w:val="bottom"/>
          </w:tcPr>
          <w:p>
            <w:pPr>
              <w:spacing w:after="0"/>
              <w:rPr>
                <w:sz w:val="8"/>
                <w:szCs w:val="8"/>
                <w:color w:val="auto"/>
              </w:rPr>
            </w:pPr>
          </w:p>
        </w:tc>
      </w:tr>
      <w:tr>
        <w:trPr>
          <w:trHeight w:val="371"/>
        </w:trPr>
        <w:tc>
          <w:tcPr>
            <w:tcW w:w="7640" w:type="dxa"/>
            <w:vAlign w:val="bottom"/>
            <w:gridSpan w:val="3"/>
          </w:tcPr>
          <w:p>
            <w:pPr>
              <w:jc w:val="center"/>
              <w:ind w:right="5240"/>
              <w:spacing w:after="0"/>
              <w:rPr>
                <w:sz w:val="20"/>
                <w:szCs w:val="20"/>
                <w:color w:val="auto"/>
              </w:rPr>
            </w:pPr>
            <w:r>
              <w:rPr>
                <w:rFonts w:ascii="Times New Roman" w:cs="Times New Roman" w:eastAsia="Times New Roman" w:hAnsi="Times New Roman"/>
                <w:sz w:val="18"/>
                <w:szCs w:val="18"/>
                <w:b w:val="1"/>
                <w:bCs w:val="1"/>
                <w:color w:val="auto"/>
                <w:w w:val="98"/>
              </w:rPr>
              <w:t>Florida</w:t>
            </w:r>
          </w:p>
        </w:tc>
        <w:tc>
          <w:tcPr>
            <w:tcW w:w="164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59-0864469</w:t>
            </w:r>
          </w:p>
        </w:tc>
      </w:tr>
      <w:tr>
        <w:trPr>
          <w:trHeight w:val="151"/>
        </w:trPr>
        <w:tc>
          <w:tcPr>
            <w:tcW w:w="7640" w:type="dxa"/>
            <w:vAlign w:val="bottom"/>
            <w:gridSpan w:val="3"/>
          </w:tcPr>
          <w:p>
            <w:pPr>
              <w:jc w:val="center"/>
              <w:ind w:right="5240"/>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40" w:type="dxa"/>
            <w:vAlign w:val="bottom"/>
          </w:tcPr>
          <w:p>
            <w:pPr>
              <w:jc w:val="center"/>
              <w:ind w:left="12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78"/>
        </w:trPr>
        <w:tc>
          <w:tcPr>
            <w:tcW w:w="7640" w:type="dxa"/>
            <w:vAlign w:val="bottom"/>
            <w:gridSpan w:val="3"/>
          </w:tcPr>
          <w:p>
            <w:pPr>
              <w:jc w:val="center"/>
              <w:ind w:right="52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4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216"/>
        </w:trPr>
        <w:tc>
          <w:tcPr>
            <w:tcW w:w="7640" w:type="dxa"/>
            <w:vAlign w:val="bottom"/>
            <w:gridSpan w:val="3"/>
          </w:tcPr>
          <w:p>
            <w:pPr>
              <w:jc w:val="center"/>
              <w:ind w:right="5240"/>
              <w:spacing w:after="0"/>
              <w:rPr>
                <w:sz w:val="20"/>
                <w:szCs w:val="20"/>
                <w:color w:val="auto"/>
              </w:rPr>
            </w:pPr>
            <w:r>
              <w:rPr>
                <w:rFonts w:ascii="Times New Roman" w:cs="Times New Roman" w:eastAsia="Times New Roman" w:hAnsi="Times New Roman"/>
                <w:sz w:val="18"/>
                <w:szCs w:val="18"/>
                <w:b w:val="1"/>
                <w:bCs w:val="1"/>
                <w:color w:val="auto"/>
                <w:w w:val="99"/>
              </w:rPr>
              <w:t>300 North Beach Street,</w:t>
            </w:r>
          </w:p>
        </w:tc>
        <w:tc>
          <w:tcPr>
            <w:tcW w:w="1640" w:type="dxa"/>
            <w:vAlign w:val="bottom"/>
          </w:tcPr>
          <w:p>
            <w:pPr>
              <w:spacing w:after="0"/>
              <w:rPr>
                <w:sz w:val="18"/>
                <w:szCs w:val="18"/>
                <w:color w:val="auto"/>
              </w:rPr>
            </w:pPr>
          </w:p>
        </w:tc>
      </w:tr>
      <w:tr>
        <w:trPr>
          <w:trHeight w:val="238"/>
        </w:trPr>
        <w:tc>
          <w:tcPr>
            <w:tcW w:w="7640" w:type="dxa"/>
            <w:vAlign w:val="bottom"/>
            <w:gridSpan w:val="3"/>
          </w:tcPr>
          <w:p>
            <w:pPr>
              <w:jc w:val="center"/>
              <w:ind w:right="5240"/>
              <w:spacing w:after="0"/>
              <w:rPr>
                <w:sz w:val="20"/>
                <w:szCs w:val="20"/>
                <w:color w:val="auto"/>
              </w:rPr>
            </w:pPr>
            <w:r>
              <w:rPr>
                <w:rFonts w:ascii="Times New Roman" w:cs="Times New Roman" w:eastAsia="Times New Roman" w:hAnsi="Times New Roman"/>
                <w:sz w:val="18"/>
                <w:szCs w:val="18"/>
                <w:b w:val="1"/>
                <w:bCs w:val="1"/>
                <w:color w:val="auto"/>
                <w:w w:val="99"/>
              </w:rPr>
              <w:t>Daytona Beach, FL</w:t>
            </w:r>
          </w:p>
        </w:tc>
        <w:tc>
          <w:tcPr>
            <w:tcW w:w="164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32114</w:t>
            </w:r>
          </w:p>
        </w:tc>
      </w:tr>
      <w:tr>
        <w:trPr>
          <w:trHeight w:val="258"/>
        </w:trPr>
        <w:tc>
          <w:tcPr>
            <w:tcW w:w="7640" w:type="dxa"/>
            <w:vAlign w:val="bottom"/>
            <w:gridSpan w:val="3"/>
          </w:tcPr>
          <w:p>
            <w:pPr>
              <w:jc w:val="center"/>
              <w:ind w:right="52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4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95"/>
        </w:trPr>
        <w:tc>
          <w:tcPr>
            <w:tcW w:w="7640" w:type="dxa"/>
            <w:vAlign w:val="bottom"/>
            <w:gridSpan w:val="3"/>
          </w:tcPr>
          <w:p>
            <w:pPr>
              <w:jc w:val="center"/>
              <w:ind w:left="1942"/>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(386) 252-9601</w:t>
            </w:r>
          </w:p>
        </w:tc>
        <w:tc>
          <w:tcPr>
            <w:tcW w:w="16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59690</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drawing>
          <wp:anchor simplePos="0" relativeHeight="251657728" behindDoc="1" locked="0" layoutInCell="0" allowOverlap="1">
            <wp:simplePos x="0" y="0"/>
            <wp:positionH relativeFrom="column">
              <wp:posOffset>2719070</wp:posOffset>
            </wp:positionH>
            <wp:positionV relativeFrom="paragraph">
              <wp:posOffset>-761365</wp:posOffset>
            </wp:positionV>
            <wp:extent cx="1746885" cy="3079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6885" cy="307975"/>
                    </a:xfrm>
                    <a:prstGeom prst="rect">
                      <a:avLst/>
                    </a:prstGeom>
                    <a:noFill/>
                  </pic:spPr>
                </pic:pic>
              </a:graphicData>
            </a:graphic>
          </wp:anchor>
        </w:drawing>
      </w:r>
    </w:p>
    <w:p>
      <w:pPr>
        <w:spacing w:after="0" w:line="13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09"/>
        </w:trPr>
        <w:tc>
          <w:tcPr>
            <w:tcW w:w="50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7"/>
        </w:trPr>
        <w:tc>
          <w:tcPr>
            <w:tcW w:w="50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$0.10 Par Value</w:t>
            </w:r>
          </w:p>
        </w:tc>
        <w:tc>
          <w:tcPr>
            <w:tcW w:w="2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BRO</w:t>
            </w:r>
          </w:p>
        </w:tc>
        <w:tc>
          <w:tcPr>
            <w:tcW w:w="3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7" w:lineRule="exact"/>
        <w:rPr>
          <w:sz w:val="24"/>
          <w:szCs w:val="24"/>
          <w:color w:val="auto"/>
        </w:rPr>
      </w:pPr>
    </w:p>
    <w:p>
      <w:pPr>
        <w:ind w:right="100" w:firstLine="49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Wingdings" w:cs="Wingdings" w:eastAsia="Wingdings" w:hAnsi="Wingdings"/>
          <w:sz w:val="18"/>
          <w:szCs w:val="18"/>
          <w:b w:val="1"/>
          <w:bCs w:val="1"/>
          <w:color w:val="auto"/>
        </w:rPr>
        <w:t></w:t>
      </w:r>
    </w:p>
    <w:p>
      <w:pPr>
        <w:spacing w:after="0" w:line="35" w:lineRule="exact"/>
        <w:rPr>
          <w:sz w:val="24"/>
          <w:szCs w:val="24"/>
          <w:color w:val="auto"/>
        </w:rPr>
      </w:pPr>
    </w:p>
    <w:p>
      <w:pPr>
        <w:ind w:right="80" w:firstLine="499"/>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right="100" w:firstLine="499"/>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52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0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5240" w:type="dxa"/>
            <w:vAlign w:val="bottom"/>
          </w:tcPr>
          <w:p>
            <w:pPr>
              <w:ind w:left="3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48" w:lineRule="exact"/>
        <w:rPr>
          <w:sz w:val="24"/>
          <w:szCs w:val="24"/>
          <w:color w:val="auto"/>
        </w:rPr>
      </w:pPr>
    </w:p>
    <w:p>
      <w:pPr>
        <w:ind w:right="40" w:firstLine="499"/>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left="500" w:right="112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$0.10 par value, outstanding as of July 19, 2024 was 285,260,996.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955675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5" w:right="31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60" w:type="dxa"/>
            <w:vAlign w:val="bottom"/>
          </w:tcPr>
          <w:p>
            <w:pPr>
              <w:spacing w:after="0"/>
              <w:rPr>
                <w:sz w:val="16"/>
                <w:szCs w:val="16"/>
                <w:color w:val="auto"/>
              </w:rPr>
            </w:pPr>
          </w:p>
        </w:tc>
      </w:tr>
      <w:tr>
        <w:trPr>
          <w:trHeight w:val="182"/>
        </w:trPr>
        <w:tc>
          <w:tcPr>
            <w:tcW w:w="100" w:type="dxa"/>
            <w:vAlign w:val="bottom"/>
          </w:tcPr>
          <w:p>
            <w:pPr>
              <w:spacing w:after="0"/>
              <w:rPr>
                <w:sz w:val="15"/>
                <w:szCs w:val="15"/>
                <w:color w:val="auto"/>
              </w:rPr>
            </w:pPr>
          </w:p>
        </w:tc>
        <w:tc>
          <w:tcPr>
            <w:tcW w:w="3080" w:type="dxa"/>
            <w:vAlign w:val="bottom"/>
            <w:tcBorders>
              <w:bottom w:val="single" w:sz="8" w:color="0563C1"/>
            </w:tcBorders>
            <w:gridSpan w:val="10"/>
          </w:tcPr>
          <w:p>
            <w:pPr>
              <w:spacing w:after="0" w:line="182" w:lineRule="exact"/>
              <w:rPr>
                <w:sz w:val="20"/>
                <w:szCs w:val="20"/>
                <w:color w:val="auto"/>
              </w:rPr>
            </w:pPr>
            <w:r>
              <w:rPr>
                <w:rFonts w:ascii="Times New Roman" w:cs="Times New Roman" w:eastAsia="Times New Roman" w:hAnsi="Times New Roman"/>
                <w:sz w:val="18"/>
                <w:szCs w:val="18"/>
                <w:b w:val="1"/>
                <w:bCs w:val="1"/>
                <w:color w:val="0563C1"/>
                <w:w w:val="98"/>
              </w:rPr>
              <w:t>PART I. FINANCIAL INFORMATION</w:t>
            </w:r>
          </w:p>
        </w:tc>
        <w:tc>
          <w:tcPr>
            <w:tcW w:w="6900" w:type="dxa"/>
            <w:vAlign w:val="bottom"/>
            <w:gridSpan w:val="11"/>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371"/>
        </w:trPr>
        <w:tc>
          <w:tcPr>
            <w:tcW w:w="100" w:type="dxa"/>
            <w:vAlign w:val="bottom"/>
          </w:tcPr>
          <w:p>
            <w:pPr>
              <w:spacing w:after="0"/>
              <w:rPr>
                <w:sz w:val="24"/>
                <w:szCs w:val="24"/>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884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Financial Statements (Unaudited):</w:t>
            </w: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563C1"/>
          </w:tcPr>
          <w:p>
            <w:pPr>
              <w:spacing w:after="0" w:line="20" w:lineRule="exact"/>
              <w:rPr>
                <w:sz w:val="1"/>
                <w:szCs w:val="1"/>
                <w:color w:val="auto"/>
              </w:rPr>
            </w:pPr>
          </w:p>
        </w:tc>
        <w:tc>
          <w:tcPr>
            <w:tcW w:w="24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700" w:type="dxa"/>
            <w:vAlign w:val="bottom"/>
            <w:gridSpan w:val="2"/>
            <w:shd w:val="clear" w:color="auto" w:fill="0563C1"/>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700" w:type="dxa"/>
            <w:vAlign w:val="bottom"/>
            <w:tcBorders>
              <w:bottom w:val="single" w:sz="8" w:color="0563C1"/>
            </w:tcBorders>
            <w:gridSpan w:val="17"/>
          </w:tcPr>
          <w:p>
            <w:pPr>
              <w:spacing w:after="0"/>
              <w:rPr>
                <w:sz w:val="20"/>
                <w:szCs w:val="20"/>
                <w:color w:val="auto"/>
              </w:rPr>
            </w:pPr>
            <w:r>
              <w:rPr>
                <w:rFonts w:ascii="Times New Roman" w:cs="Times New Roman" w:eastAsia="Times New Roman" w:hAnsi="Times New Roman"/>
                <w:sz w:val="18"/>
                <w:szCs w:val="18"/>
                <w:color w:val="0563C1"/>
                <w:w w:val="99"/>
              </w:rPr>
              <w:t>Condensed Consolidated Statements of Income for the three and six months ended June 30, 2024 and 2023</w:t>
            </w:r>
          </w:p>
        </w:tc>
        <w:tc>
          <w:tcPr>
            <w:tcW w:w="1140" w:type="dxa"/>
            <w:vAlign w:val="bottom"/>
            <w:gridSpan w:val="2"/>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9"/>
                <w:szCs w:val="19"/>
                <w:color w:val="auto"/>
              </w:rPr>
            </w:pPr>
          </w:p>
        </w:tc>
      </w:tr>
      <w:tr>
        <w:trPr>
          <w:trHeight w:val="223"/>
        </w:trPr>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4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Condensed Consolidated Statements of Comprehensive Income for the three and six months ended June 30, 2024 and</w:t>
            </w: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0563C1"/>
              <w:bottom w:val="single" w:sz="8" w:color="0563C1"/>
            </w:tcBorders>
          </w:tcPr>
          <w:p>
            <w:pPr>
              <w:spacing w:after="0" w:line="195" w:lineRule="exact"/>
              <w:rPr>
                <w:sz w:val="20"/>
                <w:szCs w:val="20"/>
                <w:color w:val="auto"/>
              </w:rPr>
            </w:pPr>
            <w:r>
              <w:rPr>
                <w:rFonts w:ascii="Times New Roman" w:cs="Times New Roman" w:eastAsia="Times New Roman" w:hAnsi="Times New Roman"/>
                <w:sz w:val="18"/>
                <w:szCs w:val="18"/>
                <w:color w:val="0563C1"/>
                <w:w w:val="94"/>
              </w:rPr>
              <w:t>2023</w:t>
            </w:r>
          </w:p>
        </w:tc>
        <w:tc>
          <w:tcPr>
            <w:tcW w:w="24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42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300" w:type="dxa"/>
            <w:vAlign w:val="bottom"/>
            <w:tcBorders>
              <w:top w:val="single" w:sz="8" w:color="0563C1"/>
            </w:tcBorders>
          </w:tcPr>
          <w:p>
            <w:pPr>
              <w:spacing w:after="0"/>
              <w:rPr>
                <w:sz w:val="17"/>
                <w:szCs w:val="17"/>
                <w:color w:val="auto"/>
              </w:rPr>
            </w:pPr>
          </w:p>
        </w:tc>
        <w:tc>
          <w:tcPr>
            <w:tcW w:w="120" w:type="dxa"/>
            <w:vAlign w:val="bottom"/>
            <w:tcBorders>
              <w:top w:val="single" w:sz="8" w:color="0563C1"/>
            </w:tcBorders>
          </w:tcPr>
          <w:p>
            <w:pPr>
              <w:spacing w:after="0"/>
              <w:rPr>
                <w:sz w:val="17"/>
                <w:szCs w:val="17"/>
                <w:color w:val="auto"/>
              </w:rPr>
            </w:pPr>
          </w:p>
        </w:tc>
        <w:tc>
          <w:tcPr>
            <w:tcW w:w="180" w:type="dxa"/>
            <w:vAlign w:val="bottom"/>
            <w:tcBorders>
              <w:top w:val="single" w:sz="8" w:color="0563C1"/>
            </w:tcBorders>
          </w:tcPr>
          <w:p>
            <w:pPr>
              <w:spacing w:after="0"/>
              <w:rPr>
                <w:sz w:val="17"/>
                <w:szCs w:val="17"/>
                <w:color w:val="auto"/>
              </w:rPr>
            </w:pPr>
          </w:p>
        </w:tc>
        <w:tc>
          <w:tcPr>
            <w:tcW w:w="520" w:type="dxa"/>
            <w:vAlign w:val="bottom"/>
            <w:tcBorders>
              <w:top w:val="single" w:sz="8" w:color="0563C1"/>
            </w:tcBorders>
          </w:tcPr>
          <w:p>
            <w:pPr>
              <w:spacing w:after="0"/>
              <w:rPr>
                <w:sz w:val="17"/>
                <w:szCs w:val="17"/>
                <w:color w:val="auto"/>
              </w:rPr>
            </w:pPr>
          </w:p>
        </w:tc>
        <w:tc>
          <w:tcPr>
            <w:tcW w:w="152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20" w:type="dxa"/>
            <w:vAlign w:val="bottom"/>
            <w:tcBorders>
              <w:top w:val="single" w:sz="8" w:color="0563C1"/>
            </w:tcBorders>
          </w:tcPr>
          <w:p>
            <w:pPr>
              <w:spacing w:after="0"/>
              <w:rPr>
                <w:sz w:val="17"/>
                <w:szCs w:val="17"/>
                <w:color w:val="auto"/>
              </w:rPr>
            </w:pPr>
          </w:p>
        </w:tc>
        <w:tc>
          <w:tcPr>
            <w:tcW w:w="1780" w:type="dxa"/>
            <w:vAlign w:val="bottom"/>
            <w:tcBorders>
              <w:top w:val="single" w:sz="8" w:color="0563C1"/>
            </w:tcBorders>
          </w:tcPr>
          <w:p>
            <w:pPr>
              <w:spacing w:after="0"/>
              <w:rPr>
                <w:sz w:val="17"/>
                <w:szCs w:val="17"/>
                <w:color w:val="auto"/>
              </w:rPr>
            </w:pPr>
          </w:p>
        </w:tc>
        <w:tc>
          <w:tcPr>
            <w:tcW w:w="320" w:type="dxa"/>
            <w:vAlign w:val="bottom"/>
            <w:tcBorders>
              <w:top w:val="single" w:sz="8" w:color="0563C1"/>
            </w:tcBorders>
          </w:tcPr>
          <w:p>
            <w:pPr>
              <w:spacing w:after="0"/>
              <w:rPr>
                <w:sz w:val="17"/>
                <w:szCs w:val="17"/>
                <w:color w:val="auto"/>
              </w:rPr>
            </w:pPr>
          </w:p>
        </w:tc>
        <w:tc>
          <w:tcPr>
            <w:tcW w:w="820" w:type="dxa"/>
            <w:vAlign w:val="bottom"/>
            <w:tcBorders>
              <w:top w:val="single" w:sz="8" w:color="0563C1"/>
            </w:tcBorders>
          </w:tcPr>
          <w:p>
            <w:pPr>
              <w:spacing w:after="0"/>
              <w:rPr>
                <w:sz w:val="17"/>
                <w:szCs w:val="17"/>
                <w:color w:val="auto"/>
              </w:rPr>
            </w:pPr>
          </w:p>
        </w:tc>
        <w:tc>
          <w:tcPr>
            <w:tcW w:w="360" w:type="dxa"/>
            <w:vAlign w:val="bottom"/>
            <w:tcBorders>
              <w:top w:val="single" w:sz="8" w:color="0563C1"/>
            </w:tcBorders>
          </w:tcPr>
          <w:p>
            <w:pPr>
              <w:spacing w:after="0"/>
              <w:rPr>
                <w:sz w:val="17"/>
                <w:szCs w:val="17"/>
                <w:color w:val="auto"/>
              </w:rPr>
            </w:pPr>
          </w:p>
        </w:tc>
        <w:tc>
          <w:tcPr>
            <w:tcW w:w="60" w:type="dxa"/>
            <w:vAlign w:val="bottom"/>
            <w:tcBorders>
              <w:top w:val="single" w:sz="8" w:color="0563C1"/>
            </w:tcBorders>
          </w:tcPr>
          <w:p>
            <w:pPr>
              <w:spacing w:after="0"/>
              <w:rPr>
                <w:sz w:val="17"/>
                <w:szCs w:val="17"/>
                <w:color w:val="auto"/>
              </w:rPr>
            </w:pPr>
          </w:p>
        </w:tc>
        <w:tc>
          <w:tcPr>
            <w:tcW w:w="800" w:type="dxa"/>
            <w:vAlign w:val="bottom"/>
            <w:tcBorders>
              <w:top w:val="single" w:sz="8" w:color="0563C1"/>
            </w:tcBorders>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w:t>
            </w:r>
          </w:p>
        </w:tc>
        <w:tc>
          <w:tcPr>
            <w:tcW w:w="60" w:type="dxa"/>
            <w:vAlign w:val="bottom"/>
          </w:tcPr>
          <w:p>
            <w:pPr>
              <w:spacing w:after="0"/>
              <w:rPr>
                <w:sz w:val="17"/>
                <w:szCs w:val="17"/>
                <w:color w:val="auto"/>
              </w:rPr>
            </w:pPr>
          </w:p>
        </w:tc>
      </w:tr>
      <w:tr>
        <w:trPr>
          <w:trHeight w:val="223"/>
        </w:trPr>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140" w:type="dxa"/>
            <w:vAlign w:val="bottom"/>
            <w:tcBorders>
              <w:bottom w:val="single" w:sz="8" w:color="0563C1"/>
            </w:tcBorders>
            <w:gridSpan w:val="13"/>
          </w:tcPr>
          <w:p>
            <w:pPr>
              <w:spacing w:after="0"/>
              <w:rPr>
                <w:sz w:val="20"/>
                <w:szCs w:val="20"/>
                <w:color w:val="auto"/>
              </w:rPr>
            </w:pPr>
            <w:r>
              <w:rPr>
                <w:rFonts w:ascii="Times New Roman" w:cs="Times New Roman" w:eastAsia="Times New Roman" w:hAnsi="Times New Roman"/>
                <w:sz w:val="18"/>
                <w:szCs w:val="18"/>
                <w:color w:val="0563C1"/>
                <w:w w:val="99"/>
              </w:rPr>
              <w:t>Condensed Consolidated Balance Sheets as of June 30, 2024 and December 31, 2023</w:t>
            </w:r>
          </w:p>
        </w:tc>
        <w:tc>
          <w:tcPr>
            <w:tcW w:w="2700" w:type="dxa"/>
            <w:vAlign w:val="bottom"/>
            <w:gridSpan w:val="6"/>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60" w:type="dxa"/>
            <w:vAlign w:val="bottom"/>
          </w:tcPr>
          <w:p>
            <w:pPr>
              <w:spacing w:after="0"/>
              <w:rPr>
                <w:sz w:val="19"/>
                <w:szCs w:val="19"/>
                <w:color w:val="auto"/>
              </w:rPr>
            </w:pPr>
          </w:p>
        </w:tc>
      </w:tr>
      <w:tr>
        <w:trPr>
          <w:trHeight w:val="223"/>
        </w:trPr>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40" w:type="dxa"/>
            <w:vAlign w:val="bottom"/>
            <w:tcBorders>
              <w:bottom w:val="single" w:sz="8" w:color="0563C1"/>
            </w:tcBorders>
            <w:gridSpan w:val="16"/>
          </w:tcPr>
          <w:p>
            <w:pPr>
              <w:spacing w:after="0"/>
              <w:rPr>
                <w:sz w:val="20"/>
                <w:szCs w:val="20"/>
                <w:color w:val="auto"/>
              </w:rPr>
            </w:pPr>
            <w:r>
              <w:rPr>
                <w:rFonts w:ascii="Times New Roman" w:cs="Times New Roman" w:eastAsia="Times New Roman" w:hAnsi="Times New Roman"/>
                <w:sz w:val="18"/>
                <w:szCs w:val="18"/>
                <w:color w:val="0563C1"/>
                <w:w w:val="99"/>
              </w:rPr>
              <w:t>Condensed Consolidated Statements of Equity for the three and six months ended June 30, 2024 and 2023</w:t>
            </w:r>
          </w:p>
        </w:tc>
        <w:tc>
          <w:tcPr>
            <w:tcW w:w="1200" w:type="dxa"/>
            <w:vAlign w:val="bottom"/>
            <w:gridSpan w:val="3"/>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tcPr>
          <w:p>
            <w:pPr>
              <w:spacing w:after="0"/>
              <w:rPr>
                <w:sz w:val="19"/>
                <w:szCs w:val="19"/>
                <w:color w:val="auto"/>
              </w:rPr>
            </w:pPr>
          </w:p>
        </w:tc>
      </w:tr>
      <w:tr>
        <w:trPr>
          <w:trHeight w:val="223"/>
        </w:trPr>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4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Condensed Consolidated Statements of Cash Flows for the six months ended June 30, 2024 and 2023</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r>
      <w:tr>
        <w:trPr>
          <w:trHeight w:val="223"/>
        </w:trPr>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80" w:type="dxa"/>
            <w:vAlign w:val="bottom"/>
            <w:tcBorders>
              <w:top w:val="single" w:sz="8" w:color="0563C1"/>
            </w:tcBorders>
            <w:gridSpan w:val="15"/>
          </w:tcPr>
          <w:p>
            <w:pPr>
              <w:spacing w:after="0"/>
              <w:rPr>
                <w:sz w:val="20"/>
                <w:szCs w:val="20"/>
                <w:color w:val="auto"/>
              </w:rPr>
            </w:pPr>
            <w:r>
              <w:rPr>
                <w:rFonts w:ascii="Times New Roman" w:cs="Times New Roman" w:eastAsia="Times New Roman" w:hAnsi="Times New Roman"/>
                <w:sz w:val="18"/>
                <w:szCs w:val="18"/>
                <w:color w:val="0563C1"/>
              </w:rPr>
              <w:t>Notes to Condensed Consolidated Financial Statements</w:t>
            </w:r>
          </w:p>
        </w:tc>
        <w:tc>
          <w:tcPr>
            <w:tcW w:w="1560" w:type="dxa"/>
            <w:vAlign w:val="bottom"/>
            <w:gridSpan w:val="4"/>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19"/>
                <w:szCs w:val="19"/>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220" w:type="dxa"/>
            <w:vAlign w:val="bottom"/>
            <w:gridSpan w:val="3"/>
            <w:shd w:val="clear" w:color="auto" w:fill="0563C1"/>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00" w:type="dxa"/>
            <w:vAlign w:val="bottom"/>
          </w:tcPr>
          <w:p>
            <w:pPr>
              <w:spacing w:after="0"/>
              <w:rPr>
                <w:sz w:val="24"/>
                <w:szCs w:val="24"/>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563C1"/>
            </w:tcBorders>
            <w:gridSpan w:val="14"/>
          </w:tcPr>
          <w:p>
            <w:pPr>
              <w:spacing w:after="0"/>
              <w:rPr>
                <w:sz w:val="20"/>
                <w:szCs w:val="20"/>
                <w:color w:val="auto"/>
              </w:rPr>
            </w:pPr>
            <w:r>
              <w:rPr>
                <w:rFonts w:ascii="Times New Roman" w:cs="Times New Roman" w:eastAsia="Times New Roman" w:hAnsi="Times New Roman"/>
                <w:sz w:val="18"/>
                <w:szCs w:val="18"/>
                <w:color w:val="0563C1"/>
                <w:w w:val="99"/>
              </w:rPr>
              <w:t>Management’s Discussion and Analysis of Financial Condition and Results of Operations</w:t>
            </w:r>
          </w:p>
        </w:tc>
        <w:tc>
          <w:tcPr>
            <w:tcW w:w="2380" w:type="dxa"/>
            <w:vAlign w:val="bottom"/>
            <w:gridSpan w:val="5"/>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tcPr>
          <w:p>
            <w:pPr>
              <w:spacing w:after="0"/>
              <w:rPr>
                <w:sz w:val="24"/>
                <w:szCs w:val="24"/>
                <w:color w:val="auto"/>
              </w:rPr>
            </w:pPr>
          </w:p>
        </w:tc>
      </w:tr>
      <w:tr>
        <w:trPr>
          <w:trHeight w:val="223"/>
        </w:trPr>
        <w:tc>
          <w:tcPr>
            <w:tcW w:w="1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563C1"/>
            </w:tcBorders>
            <w:gridSpan w:val="12"/>
          </w:tcPr>
          <w:p>
            <w:pPr>
              <w:spacing w:after="0"/>
              <w:rPr>
                <w:sz w:val="20"/>
                <w:szCs w:val="20"/>
                <w:color w:val="auto"/>
              </w:rPr>
            </w:pPr>
            <w:r>
              <w:rPr>
                <w:rFonts w:ascii="Times New Roman" w:cs="Times New Roman" w:eastAsia="Times New Roman" w:hAnsi="Times New Roman"/>
                <w:sz w:val="18"/>
                <w:szCs w:val="18"/>
                <w:color w:val="0563C1"/>
                <w:w w:val="99"/>
              </w:rPr>
              <w:t>Quantitative and Qualitative Disclosures About Market Risk</w:t>
            </w:r>
          </w:p>
        </w:tc>
        <w:tc>
          <w:tcPr>
            <w:tcW w:w="4480" w:type="dxa"/>
            <w:vAlign w:val="bottom"/>
            <w:gridSpan w:val="7"/>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9"/>
                <w:szCs w:val="19"/>
                <w:color w:val="auto"/>
              </w:rPr>
            </w:pPr>
          </w:p>
        </w:tc>
      </w:tr>
      <w:tr>
        <w:trPr>
          <w:trHeight w:val="223"/>
        </w:trPr>
        <w:tc>
          <w:tcPr>
            <w:tcW w:w="1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4.</w:t>
            </w:r>
          </w:p>
        </w:tc>
        <w:tc>
          <w:tcPr>
            <w:tcW w:w="884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Controls and Procedures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60" w:type="dxa"/>
            <w:vAlign w:val="bottom"/>
          </w:tcPr>
          <w:p>
            <w:pPr>
              <w:spacing w:after="0"/>
              <w:rPr>
                <w:sz w:val="19"/>
                <w:szCs w:val="19"/>
                <w:color w:val="auto"/>
              </w:rPr>
            </w:pPr>
          </w:p>
        </w:tc>
      </w:tr>
      <w:tr>
        <w:trPr>
          <w:trHeight w:val="20"/>
        </w:trPr>
        <w:tc>
          <w:tcPr>
            <w:tcW w:w="1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shd w:val="clear" w:color="auto" w:fill="0563C1"/>
          </w:tcPr>
          <w:p>
            <w:pPr>
              <w:spacing w:after="0" w:line="20" w:lineRule="exact"/>
              <w:rPr>
                <w:sz w:val="1"/>
                <w:szCs w:val="1"/>
                <w:color w:val="auto"/>
              </w:rPr>
            </w:pPr>
          </w:p>
        </w:tc>
        <w:tc>
          <w:tcPr>
            <w:tcW w:w="20" w:type="dxa"/>
            <w:vAlign w:val="bottom"/>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120" w:type="dxa"/>
            <w:vAlign w:val="bottom"/>
            <w:shd w:val="clear" w:color="auto" w:fill="0563C1"/>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00" w:type="dxa"/>
            <w:vAlign w:val="bottom"/>
          </w:tcPr>
          <w:p>
            <w:pPr>
              <w:spacing w:after="0"/>
              <w:rPr>
                <w:sz w:val="24"/>
                <w:szCs w:val="24"/>
                <w:color w:val="auto"/>
              </w:rPr>
            </w:pPr>
          </w:p>
        </w:tc>
        <w:tc>
          <w:tcPr>
            <w:tcW w:w="2780" w:type="dxa"/>
            <w:vAlign w:val="bottom"/>
            <w:tcBorders>
              <w:bottom w:val="single" w:sz="8" w:color="0563C1"/>
            </w:tcBorders>
            <w:gridSpan w:val="8"/>
          </w:tcPr>
          <w:p>
            <w:pPr>
              <w:spacing w:after="0"/>
              <w:rPr>
                <w:sz w:val="20"/>
                <w:szCs w:val="20"/>
                <w:color w:val="auto"/>
              </w:rPr>
            </w:pPr>
            <w:r>
              <w:rPr>
                <w:rFonts w:ascii="Times New Roman" w:cs="Times New Roman" w:eastAsia="Times New Roman" w:hAnsi="Times New Roman"/>
                <w:sz w:val="18"/>
                <w:szCs w:val="18"/>
                <w:b w:val="1"/>
                <w:bCs w:val="1"/>
                <w:color w:val="0563C1"/>
                <w:w w:val="98"/>
              </w:rPr>
              <w:t>PART II. OTHER INFORMATION</w:t>
            </w:r>
          </w:p>
        </w:tc>
        <w:tc>
          <w:tcPr>
            <w:tcW w:w="7200" w:type="dxa"/>
            <w:vAlign w:val="bottom"/>
            <w:gridSpan w:val="13"/>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71"/>
        </w:trPr>
        <w:tc>
          <w:tcPr>
            <w:tcW w:w="100" w:type="dxa"/>
            <w:vAlign w:val="bottom"/>
          </w:tcPr>
          <w:p>
            <w:pPr>
              <w:spacing w:after="0"/>
              <w:rPr>
                <w:sz w:val="24"/>
                <w:szCs w:val="24"/>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563C1"/>
            </w:tcBorders>
            <w:gridSpan w:val="5"/>
          </w:tcPr>
          <w:p>
            <w:pPr>
              <w:spacing w:after="0"/>
              <w:rPr>
                <w:sz w:val="20"/>
                <w:szCs w:val="20"/>
                <w:color w:val="auto"/>
              </w:rPr>
            </w:pPr>
            <w:r>
              <w:rPr>
                <w:rFonts w:ascii="Times New Roman" w:cs="Times New Roman" w:eastAsia="Times New Roman" w:hAnsi="Times New Roman"/>
                <w:sz w:val="18"/>
                <w:szCs w:val="18"/>
                <w:color w:val="0563C1"/>
                <w:w w:val="98"/>
              </w:rPr>
              <w:t>Legal Proceedings</w:t>
            </w:r>
          </w:p>
        </w:tc>
        <w:tc>
          <w:tcPr>
            <w:tcW w:w="7500" w:type="dxa"/>
            <w:vAlign w:val="bottom"/>
            <w:gridSpan w:val="14"/>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24"/>
                <w:szCs w:val="24"/>
                <w:color w:val="auto"/>
              </w:rPr>
            </w:pPr>
          </w:p>
        </w:tc>
      </w:tr>
      <w:tr>
        <w:trPr>
          <w:trHeight w:val="223"/>
        </w:trPr>
        <w:tc>
          <w:tcPr>
            <w:tcW w:w="1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1A.</w:t>
            </w:r>
          </w:p>
        </w:tc>
        <w:tc>
          <w:tcPr>
            <w:tcW w:w="884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Risk Factors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r>
      <w:tr>
        <w:trPr>
          <w:trHeight w:val="20"/>
        </w:trPr>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563C1"/>
          </w:tcPr>
          <w:p>
            <w:pPr>
              <w:spacing w:after="0" w:line="20" w:lineRule="exact"/>
              <w:rPr>
                <w:sz w:val="1"/>
                <w:szCs w:val="1"/>
                <w:color w:val="auto"/>
              </w:rPr>
            </w:pPr>
          </w:p>
        </w:tc>
        <w:tc>
          <w:tcPr>
            <w:tcW w:w="300" w:type="dxa"/>
            <w:vAlign w:val="bottom"/>
            <w:shd w:val="clear" w:color="auto" w:fill="0563C1"/>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7"/>
          </w:tcPr>
          <w:p>
            <w:pPr>
              <w:spacing w:after="0" w:line="20" w:lineRule="exact"/>
              <w:rPr>
                <w:sz w:val="1"/>
                <w:szCs w:val="1"/>
                <w:color w:val="auto"/>
              </w:rPr>
            </w:pPr>
          </w:p>
        </w:tc>
        <w:tc>
          <w:tcPr>
            <w:tcW w:w="4500" w:type="dxa"/>
            <w:vAlign w:val="bottom"/>
            <w:gridSpan w:val="8"/>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1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2.</w:t>
            </w:r>
          </w:p>
        </w:tc>
        <w:tc>
          <w:tcPr>
            <w:tcW w:w="884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Unregistered Sales of Equity Securities and Use of Proceeds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r>
      <w:tr>
        <w:trPr>
          <w:trHeight w:val="223"/>
        </w:trPr>
        <w:tc>
          <w:tcPr>
            <w:tcW w:w="1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563C1"/>
              <w:bottom w:val="single" w:sz="8" w:color="0563C1"/>
            </w:tcBorders>
            <w:gridSpan w:val="4"/>
          </w:tcPr>
          <w:p>
            <w:pPr>
              <w:spacing w:after="0"/>
              <w:rPr>
                <w:sz w:val="20"/>
                <w:szCs w:val="20"/>
                <w:color w:val="auto"/>
              </w:rPr>
            </w:pPr>
            <w:r>
              <w:rPr>
                <w:rFonts w:ascii="Times New Roman" w:cs="Times New Roman" w:eastAsia="Times New Roman" w:hAnsi="Times New Roman"/>
                <w:sz w:val="18"/>
                <w:szCs w:val="18"/>
                <w:color w:val="0563C1"/>
                <w:w w:val="98"/>
              </w:rPr>
              <w:t>Other Information</w:t>
            </w:r>
          </w:p>
        </w:tc>
        <w:tc>
          <w:tcPr>
            <w:tcW w:w="3020" w:type="dxa"/>
            <w:vAlign w:val="bottom"/>
            <w:tcBorders>
              <w:top w:val="single" w:sz="8" w:color="0563C1"/>
            </w:tcBorders>
            <w:gridSpan w:val="7"/>
          </w:tcPr>
          <w:p>
            <w:pPr>
              <w:spacing w:after="0"/>
              <w:rPr>
                <w:sz w:val="19"/>
                <w:szCs w:val="19"/>
                <w:color w:val="auto"/>
              </w:rPr>
            </w:pPr>
          </w:p>
        </w:tc>
        <w:tc>
          <w:tcPr>
            <w:tcW w:w="4500" w:type="dxa"/>
            <w:vAlign w:val="bottom"/>
            <w:gridSpan w:val="8"/>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9"/>
                <w:szCs w:val="19"/>
                <w:color w:val="auto"/>
              </w:rPr>
            </w:pPr>
          </w:p>
        </w:tc>
      </w:tr>
      <w:tr>
        <w:trPr>
          <w:trHeight w:val="223"/>
        </w:trPr>
        <w:tc>
          <w:tcPr>
            <w:tcW w:w="100" w:type="dxa"/>
            <w:vAlign w:val="bottom"/>
          </w:tcPr>
          <w:p>
            <w:pPr>
              <w:spacing w:after="0"/>
              <w:rPr>
                <w:sz w:val="19"/>
                <w:szCs w:val="19"/>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Item 6.</w:t>
            </w:r>
          </w:p>
        </w:tc>
        <w:tc>
          <w:tcPr>
            <w:tcW w:w="8840" w:type="dxa"/>
            <w:vAlign w:val="bottom"/>
            <w:gridSpan w:val="19"/>
          </w:tcPr>
          <w:p>
            <w:pPr>
              <w:spacing w:after="0"/>
              <w:rPr>
                <w:sz w:val="20"/>
                <w:szCs w:val="20"/>
                <w:color w:val="auto"/>
              </w:rPr>
            </w:pPr>
            <w:r>
              <w:rPr>
                <w:rFonts w:ascii="Times New Roman" w:cs="Times New Roman" w:eastAsia="Times New Roman" w:hAnsi="Times New Roman"/>
                <w:sz w:val="18"/>
                <w:szCs w:val="18"/>
                <w:color w:val="0563C1"/>
              </w:rPr>
              <w:t>Exhibits</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Pr>
          <w:p>
            <w:pPr>
              <w:spacing w:after="0"/>
              <w:rPr>
                <w:sz w:val="19"/>
                <w:szCs w:val="19"/>
                <w:color w:val="auto"/>
              </w:rPr>
            </w:pPr>
          </w:p>
        </w:tc>
      </w:tr>
      <w:tr>
        <w:trPr>
          <w:trHeight w:val="223"/>
        </w:trPr>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0563C1"/>
              </w:rPr>
              <w:t>SIGNATURE</w:t>
            </w:r>
          </w:p>
        </w:tc>
        <w:tc>
          <w:tcPr>
            <w:tcW w:w="360" w:type="dxa"/>
            <w:vAlign w:val="bottom"/>
            <w:tcBorders>
              <w:top w:val="single" w:sz="8" w:color="0563C1"/>
            </w:tcBorders>
          </w:tcPr>
          <w:p>
            <w:pPr>
              <w:spacing w:after="0"/>
              <w:rPr>
                <w:sz w:val="19"/>
                <w:szCs w:val="19"/>
                <w:color w:val="auto"/>
              </w:rPr>
            </w:pPr>
          </w:p>
        </w:tc>
        <w:tc>
          <w:tcPr>
            <w:tcW w:w="240" w:type="dxa"/>
            <w:vAlign w:val="bottom"/>
            <w:tcBorders>
              <w:top w:val="single" w:sz="8" w:color="0563C1"/>
            </w:tcBorders>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60" w:type="dxa"/>
            <w:vAlign w:val="bottom"/>
          </w:tcPr>
          <w:p>
            <w:pPr>
              <w:spacing w:after="0"/>
              <w:rPr>
                <w:sz w:val="19"/>
                <w:szCs w:val="19"/>
                <w:color w:val="auto"/>
              </w:rPr>
            </w:pPr>
          </w:p>
        </w:tc>
      </w:tr>
      <w:tr>
        <w:trPr>
          <w:trHeight w:val="681"/>
        </w:trPr>
        <w:tc>
          <w:tcPr>
            <w:tcW w:w="100" w:type="dxa"/>
            <w:vAlign w:val="bottom"/>
          </w:tcPr>
          <w:p>
            <w:pPr>
              <w:spacing w:after="0"/>
              <w:rPr>
                <w:sz w:val="24"/>
                <w:szCs w:val="24"/>
                <w:color w:val="auto"/>
              </w:rPr>
            </w:pPr>
          </w:p>
        </w:tc>
        <w:tc>
          <w:tcPr>
            <w:tcW w:w="1060" w:type="dxa"/>
            <w:vAlign w:val="bottom"/>
            <w:tcBorders>
              <w:top w:val="single" w:sz="8" w:color="0563C1"/>
            </w:tcBorders>
          </w:tcPr>
          <w:p>
            <w:pPr>
              <w:spacing w:after="0"/>
              <w:rPr>
                <w:sz w:val="24"/>
                <w:szCs w:val="24"/>
                <w:color w:val="auto"/>
              </w:rPr>
            </w:pPr>
          </w:p>
        </w:tc>
        <w:tc>
          <w:tcPr>
            <w:tcW w:w="80" w:type="dxa"/>
            <w:vAlign w:val="bottom"/>
          </w:tcPr>
          <w:p>
            <w:pPr>
              <w:spacing w:after="0"/>
              <w:rPr>
                <w:sz w:val="24"/>
                <w:szCs w:val="24"/>
                <w:color w:val="auto"/>
              </w:rPr>
            </w:pPr>
          </w:p>
        </w:tc>
        <w:tc>
          <w:tcPr>
            <w:tcW w:w="6140" w:type="dxa"/>
            <w:vAlign w:val="bottom"/>
            <w:gridSpan w:val="13"/>
          </w:tcPr>
          <w:p>
            <w:pPr>
              <w:ind w:left="4340"/>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2"/>
        </w:trPr>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Disclosure Regarding Forward-Looking Statements</w:t>
      </w:r>
    </w:p>
    <w:p>
      <w:pPr>
        <w:spacing w:after="0" w:line="31" w:lineRule="exact"/>
        <w:rPr>
          <w:sz w:val="20"/>
          <w:szCs w:val="20"/>
          <w:color w:val="auto"/>
        </w:rPr>
      </w:pPr>
    </w:p>
    <w:p>
      <w:pPr>
        <w:ind w:firstLine="494"/>
        <w:spacing w:after="0" w:line="251" w:lineRule="auto"/>
        <w:rPr>
          <w:sz w:val="20"/>
          <w:szCs w:val="20"/>
          <w:color w:val="auto"/>
        </w:rPr>
      </w:pPr>
      <w:r>
        <w:rPr>
          <w:rFonts w:ascii="Times New Roman" w:cs="Times New Roman" w:eastAsia="Times New Roman" w:hAnsi="Times New Roman"/>
          <w:sz w:val="18"/>
          <w:szCs w:val="18"/>
          <w:color w:val="auto"/>
        </w:rPr>
        <w:t>Brown &amp; Brown, Inc., together with its subsidiaries (collectively, “we,” “Brown &amp; Brown” or the “Company”), makes “forward-looking statements” within the “safe harbor” provision of the Private Securities Litigation Reform Act of 1995, as amended, throughout this report and in the documents we incorporate by reference into this report. You can identify these statements by forward-looking words such as “may,” “will,” “should,” “expect,” “anticipate,” “believe,” “intend,” “estimate,” “plan” and “continue” or similar words. We have based these statements on our current expectations about potential future events. Although we believe the expectations expressed in the forward-looking statements included in this Quarterly Report on Form 10-Q and the reports, statements, information and announcements incorporated by reference into this report are based upon reasonable assumptions within the bounds of our knowledge of our business, a number of factors could cause actual results to differ materially from those expressed in any forward-looking statements, whether oral or written, made by us or on our behalf. Many of these factors have previously been identified in filings or statements made by us or on our behalf. Important factors which could cause our actual results to differ, possibly materially from the forward-looking statements in this report include but are not limited to the following items, in addition to those matters described in Part I, Item 2 “Management’s Discussion and Analysis of Financial Condition and Results of Operations”:</w:t>
      </w:r>
    </w:p>
    <w:p>
      <w:pPr>
        <w:spacing w:after="0" w:line="203"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hire, retain and develop qualified employees, as well as the loss of any of our executive officers or other key employees;</w:t>
      </w:r>
    </w:p>
    <w:p>
      <w:pPr>
        <w:spacing w:after="0" w:line="116" w:lineRule="exact"/>
        <w:rPr>
          <w:rFonts w:ascii="Times New Roman" w:cs="Times New Roman" w:eastAsia="Times New Roman" w:hAnsi="Times New Roman"/>
          <w:sz w:val="18"/>
          <w:szCs w:val="18"/>
          <w:color w:val="auto"/>
        </w:rPr>
      </w:pPr>
    </w:p>
    <w:p>
      <w:pPr>
        <w:ind w:left="1020" w:right="66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attack or any other interruption in information technology and/or data security that may impact our operations or the operations of third parties that support us;</w:t>
      </w:r>
    </w:p>
    <w:p>
      <w:pPr>
        <w:spacing w:after="0" w:line="54"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Acquisition-related risks that could negatively affect the success of our growth strategy, including the possibility that we may not be able to successfully identify suitable acquisition candidates, complete acquisitions, successfully integrate acquired businesses into our operations and expand into new markets;</w:t>
      </w:r>
    </w:p>
    <w:p>
      <w:pPr>
        <w:spacing w:after="0" w:line="69" w:lineRule="exact"/>
        <w:rPr>
          <w:rFonts w:ascii="Times New Roman" w:cs="Times New Roman" w:eastAsia="Times New Roman" w:hAnsi="Times New Roman"/>
          <w:sz w:val="18"/>
          <w:szCs w:val="18"/>
          <w:color w:val="auto"/>
        </w:rPr>
      </w:pPr>
    </w:p>
    <w:p>
      <w:pPr>
        <w:ind w:left="1020" w:right="34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international operations, which may result in additional risks or require more management time and expense than our domestic operations to achieve or maintain profitability;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additional resources and time to adequately respond to dynamics resulting from rapid technological change;</w:t>
      </w:r>
    </w:p>
    <w:p>
      <w:pPr>
        <w:spacing w:after="0" w:line="116"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or significant change to any of our insurance company relationships, which could result in loss of capacity to write business, additional expense, loss of market share or material decrease in our commissions;</w:t>
      </w:r>
    </w:p>
    <w:p>
      <w:pPr>
        <w:spacing w:after="0" w:line="54" w:lineRule="exact"/>
        <w:rPr>
          <w:rFonts w:ascii="Times New Roman" w:cs="Times New Roman" w:eastAsia="Times New Roman" w:hAnsi="Times New Roman"/>
          <w:sz w:val="18"/>
          <w:szCs w:val="18"/>
          <w:color w:val="auto"/>
        </w:rPr>
      </w:pPr>
    </w:p>
    <w:p>
      <w:pPr>
        <w:ind w:left="1020" w:right="50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natural disasters on our profit-sharing contingent commissions, insurer capacity or claims expenses within our capitalized captive insurance facilities;</w:t>
      </w:r>
    </w:p>
    <w:p>
      <w:pPr>
        <w:spacing w:after="0" w:line="54"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economic conditions, political conditions, outbreaks of war, disasters, or regulatory changes in states or countries where we have a concentration of our business;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maintain our culture or a significant change in management, management philosophy or our business strategy;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commission revenue as a result of factors outside of our control;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sustained inflation or higher interest rates;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expense resulting from the limited underwriting risk associated with our participation in capitalized captive insurance facilities;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automobile and recreational vehicle dealer services (“F&amp;I”) businesses;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or the termination of, certain programs administered by the U.S. federal government from which we derive revenues;</w:t>
      </w:r>
    </w:p>
    <w:p>
      <w:pPr>
        <w:spacing w:after="0" w:line="116"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of our system of disclosure and internal controls and procedures in preventing errors or fraud, or in informing management of all material information in a timely manner;</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control certain shareholders have over the Company;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data privacy and protection laws and regulations or any failure to comply with such laws and regulations;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disclosure of confidential information;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non-U.S. laws, regulations and policies;</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adverse effect of certain actual or potential claims, regulatory actions or proceedings on our businesses, results of operations, financial condition or liquidity;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our business practices and compensation arrangements with insurance carriers due to potential changes in regulations;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ind w:left="1020" w:right="240" w:hanging="504"/>
        <w:spacing w:after="0" w:line="265"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changes that could reduce our profitability or growth by increasing compliance costs, technology compliance, restricting the products or services we may sell, the markets we may enter, the methods by which we may sell our products and services, or the prices we may charge for our services and the form of compensation we may accept from our customers, carriers and third parties;</w:t>
      </w:r>
    </w:p>
    <w:p>
      <w:pPr>
        <w:spacing w:after="0" w:line="69"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scrutiny and changing laws and expectations from regulators, investors and customers with respect to our environmental, social and governance practices and disclosure;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demand for liability insurance as a result of tort reform legislation;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any covenants contained in our debt agreements;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covenants in our debt agreements could prevent us from engaging in certain potentially beneficial activities;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U.S.-based credit markets that might adversely affect our business, results of operations and financial condition;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U.S. or global economic conditions, including an extended slowdown in the markets in which we operate;</w:t>
      </w:r>
    </w:p>
    <w:p>
      <w:pPr>
        <w:spacing w:after="0" w:line="116" w:lineRule="exact"/>
        <w:rPr>
          <w:rFonts w:ascii="Times New Roman" w:cs="Times New Roman" w:eastAsia="Times New Roman" w:hAnsi="Times New Roman"/>
          <w:sz w:val="18"/>
          <w:szCs w:val="18"/>
          <w:color w:val="auto"/>
        </w:rPr>
      </w:pPr>
    </w:p>
    <w:p>
      <w:pPr>
        <w:ind w:left="1020" w:right="16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Disintermediation within the insurance industry, including increased competition from insurance companies, technology companies and the financial services industry, as well as the shift away from traditional insurance markets;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that result in reduced insurer capacity;</w:t>
      </w:r>
    </w:p>
    <w:p>
      <w:pPr>
        <w:spacing w:after="0" w:line="116" w:lineRule="exact"/>
        <w:rPr>
          <w:rFonts w:ascii="Times New Roman" w:cs="Times New Roman" w:eastAsia="Times New Roman" w:hAnsi="Times New Roman"/>
          <w:sz w:val="18"/>
          <w:szCs w:val="18"/>
          <w:color w:val="auto"/>
        </w:rPr>
      </w:pPr>
    </w:p>
    <w:p>
      <w:pPr>
        <w:ind w:left="1020" w:right="8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and annual variations in our commissions that result from the timing of policy renewals and the net effect of new and lost business production;</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 risk, including the possibility that our goodwill may become impaired in the future;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pandemics, epidemics or outbreaks of infectious diseases, and the resulting governmental and societal responses;</w:t>
      </w:r>
    </w:p>
    <w:p>
      <w:pPr>
        <w:spacing w:after="0" w:line="116" w:lineRule="exact"/>
        <w:rPr>
          <w:rFonts w:ascii="Times New Roman" w:cs="Times New Roman" w:eastAsia="Times New Roman" w:hAnsi="Times New Roman"/>
          <w:sz w:val="18"/>
          <w:szCs w:val="18"/>
          <w:color w:val="auto"/>
        </w:rPr>
      </w:pPr>
    </w:p>
    <w:p>
      <w:pPr>
        <w:ind w:left="1020" w:right="260" w:hanging="504"/>
        <w:spacing w:after="0" w:line="281"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as may be detailed from time to time in our public announcements and Securities and Exchange Commission (“SEC”) filings;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the Company may not have currently identified or quantified.</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Assumptions as to any of the foregoing, and all statements, are not based upon historical fact, but rather reflect our current expectations concerning future results and events. Forward-looking statements that we make or that are made by others on our behalf are based upon a knowledge of our business and the environment in which we operate, but because of the factors listed above, among others, actual results may differ from those in the forward-looking statements. Consequently, these cautionary statements qualify all of the forward-looking statements we make herein. We cannot assure you that the results or developments anticipated by us will be realized, or even if substantially realized, that those results or developments will result in the expected consequences for us or affect us, our business or our operations in the way we expect. We caution readers not to place undue reliance on these forward-looking statements. All forward-looking statements made herein are made only as of the date of this filing, and the Company does not undertake any obligation to publicly update or correct any forward-looking statements to reflect events or circumstances that subsequently occur or of which the Company hereafter becomes aware.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 (Unaudited)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50"/>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2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Commissions and fees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1,154</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1,036</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2,390</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2,144</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40"/>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1,178</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1,047</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2,435</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2,163</w:t>
            </w:r>
          </w:p>
        </w:tc>
      </w:tr>
      <w:tr>
        <w:trPr>
          <w:trHeight w:val="24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585</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530</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1,216</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1,101</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334</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322</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disposal</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tcPr>
          <w:p>
            <w:pPr>
              <w:spacing w:after="0"/>
              <w:rPr>
                <w:sz w:val="20"/>
                <w:szCs w:val="20"/>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95</w:t>
            </w: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832</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1,723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1,615</w:t>
            </w:r>
          </w:p>
        </w:tc>
      </w:tr>
      <w:tr>
        <w:trPr>
          <w:trHeight w:val="240"/>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346</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712</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548</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159</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122</w:t>
            </w:r>
          </w:p>
        </w:tc>
      </w:tr>
      <w:tr>
        <w:trPr>
          <w:trHeight w:val="24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before non-controlling interests</w:t>
            </w:r>
          </w:p>
        </w:tc>
        <w:tc>
          <w:tcPr>
            <w:tcW w:w="240" w:type="dxa"/>
            <w:vAlign w:val="bottom"/>
            <w:shd w:val="clear" w:color="auto" w:fill="CFF0FC"/>
          </w:tcPr>
          <w:p>
            <w:pPr>
              <w:spacing w:after="0"/>
              <w:rPr>
                <w:sz w:val="20"/>
                <w:szCs w:val="20"/>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190</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553</w:t>
            </w: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426</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76"/>
        </w:trPr>
        <w:tc>
          <w:tcPr>
            <w:tcW w:w="58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257</w:t>
            </w: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190</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550</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426</w:t>
            </w:r>
          </w:p>
        </w:tc>
      </w:tr>
      <w:tr>
        <w:trPr>
          <w:trHeight w:val="223"/>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r>
      <w:tr>
        <w:trPr>
          <w:trHeight w:val="28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0.90</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0.67</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1.93</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r>
      <w:tr>
        <w:trPr>
          <w:trHeight w:val="223"/>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0.90</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0.67</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1.92</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-1497965</wp:posOffset>
            </wp:positionV>
            <wp:extent cx="939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-1497965</wp:posOffset>
            </wp:positionV>
            <wp:extent cx="857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-1497965</wp:posOffset>
            </wp:positionV>
            <wp:extent cx="857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-538480</wp:posOffset>
            </wp:positionV>
            <wp:extent cx="939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-521970</wp:posOffset>
            </wp:positionV>
            <wp:extent cx="939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-538480</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-521970</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-538480</wp:posOffset>
            </wp:positionV>
            <wp:extent cx="857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-521970</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-205105</wp:posOffset>
            </wp:positionV>
            <wp:extent cx="939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-187960</wp:posOffset>
            </wp:positionV>
            <wp:extent cx="939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-205105</wp:posOffset>
            </wp:positionV>
            <wp:extent cx="857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-205105</wp:posOffset>
            </wp:positionV>
            <wp:extent cx="857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857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4"/>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9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6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Borders>
              <w:top w:val="single" w:sz="8" w:color="auto"/>
              <w:bottom w:val="single" w:sz="8" w:color="auto"/>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4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4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00" w:type="dxa"/>
            <w:vAlign w:val="bottom"/>
            <w:shd w:val="clear" w:color="auto" w:fill="CFF0FC"/>
          </w:tcPr>
          <w:p>
            <w:pPr>
              <w:spacing w:after="0"/>
              <w:rPr>
                <w:sz w:val="20"/>
                <w:szCs w:val="20"/>
                <w:color w:val="auto"/>
              </w:rPr>
            </w:pPr>
          </w:p>
        </w:tc>
      </w:tr>
      <w:tr>
        <w:trPr>
          <w:trHeight w:val="238"/>
        </w:trPr>
        <w:tc>
          <w:tcPr>
            <w:tcW w:w="6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gain/(loss)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(28 )</w:t>
            </w: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20"/>
                <w:szCs w:val="20"/>
                <w:color w:val="auto"/>
              </w:rPr>
            </w:pPr>
          </w:p>
        </w:tc>
      </w:tr>
      <w:tr>
        <w:trPr>
          <w:trHeight w:val="276"/>
        </w:trPr>
        <w:tc>
          <w:tcPr>
            <w:tcW w:w="680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the Company</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60" w:type="dxa"/>
            <w:vAlign w:val="bottom"/>
            <w:tcBorders>
              <w:top w:val="single" w:sz="8" w:color="CFF0FC"/>
              <w:bottom w:val="single" w:sz="8" w:color="CFF0FC"/>
            </w:tcBorders>
            <w:shd w:val="clear" w:color="auto" w:fill="CFF0FC"/>
          </w:tcPr>
          <w:p>
            <w:pPr>
              <w:spacing w:after="0"/>
              <w:rPr>
                <w:sz w:val="24"/>
                <w:szCs w:val="24"/>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4893945</wp:posOffset>
            </wp:positionH>
            <wp:positionV relativeFrom="paragraph">
              <wp:posOffset>-24765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-7620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-187960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-24765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-7620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5621655</wp:posOffset>
            </wp:positionH>
            <wp:positionV relativeFrom="paragraph">
              <wp:posOffset>-187960</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-24765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-7620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6350000</wp:posOffset>
            </wp:positionH>
            <wp:positionV relativeFrom="paragraph">
              <wp:posOffset>-187960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1,107</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700</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Fiduciary cash</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1,867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1,603</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Commission, fees and other receivables</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790</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receivables</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1,275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1,125</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Reinsurance recoverable</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reinsurance premiums</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462</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318</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314</w:t>
            </w:r>
          </w:p>
        </w:tc>
      </w:tr>
      <w:tr>
        <w:trPr>
          <w:trHeight w:val="240"/>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6,089</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5,130</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assets, net</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290</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270</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199</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7,431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7,341</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 net</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1,565</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1,621</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shd w:val="clear" w:color="auto" w:fill="CFF0FC"/>
          </w:tcPr>
          <w:p>
            <w:pPr>
              <w:spacing w:after="0"/>
              <w:rPr>
                <w:sz w:val="21"/>
                <w:szCs w:val="21"/>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301</w:t>
            </w: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15,944</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14,883</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liabilities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3,142</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2,727</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Losses and loss adjustment reserve</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Unearned premiums</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603</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462</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459</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608</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569</w:t>
            </w:r>
          </w:p>
        </w:tc>
      </w:tr>
      <w:tr>
        <w:trPr>
          <w:trHeight w:val="240"/>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20"/>
                <w:szCs w:val="20"/>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5,391</w:t>
            </w:r>
          </w:p>
        </w:tc>
        <w:tc>
          <w:tcPr>
            <w:tcW w:w="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4,956</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unamortized discount and debt issuance costs</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3,391</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3,227</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180</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179</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614</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616</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331</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326</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Common stock, par value $0.10 per share; authorized 560 shares; issued 305 shares and outstanding</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1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285 shares at 2024, issued 304</w:t>
            </w: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shares and outstanding 285 shares at 2023, respectively</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1,027</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Treasury stock, at cost 20 shares at 2024 and 2023</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(748 )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shd w:val="clear" w:color="auto" w:fill="CFF0FC"/>
          </w:tcPr>
          <w:p>
            <w:pPr>
              <w:spacing w:after="0"/>
              <w:rPr>
                <w:sz w:val="21"/>
                <w:szCs w:val="21"/>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5,764</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5,289</w:t>
            </w: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equity</w:t>
            </w:r>
          </w:p>
        </w:tc>
        <w:tc>
          <w:tcPr>
            <w:tcW w:w="220" w:type="dxa"/>
            <w:vAlign w:val="bottom"/>
            <w:tcBorders>
              <w:bottom w:val="single" w:sz="8" w:color="auto"/>
            </w:tcBorders>
            <w:shd w:val="clear" w:color="auto" w:fill="CFF0FC"/>
          </w:tcPr>
          <w:p>
            <w:pPr>
              <w:spacing w:after="0"/>
              <w:rPr>
                <w:sz w:val="20"/>
                <w:szCs w:val="20"/>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6,037</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5,579</w:t>
            </w: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15,944</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14,883</w:t>
            </w:r>
          </w:p>
        </w:tc>
      </w:tr>
      <w:tr>
        <w:trPr>
          <w:trHeight w:val="20"/>
        </w:trPr>
        <w:tc>
          <w:tcPr>
            <w:tcW w:w="77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-3903980</wp:posOffset>
            </wp:positionV>
            <wp:extent cx="1111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-187960</wp:posOffset>
            </wp:positionV>
            <wp:extent cx="11112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146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90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Accumulat</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80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ed Other</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9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Outstandin</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Controllin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9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85"/>
              </w:rPr>
              <w:t>g</w:t>
            </w:r>
          </w:p>
        </w:tc>
        <w:tc>
          <w:tcPr>
            <w:tcW w:w="120" w:type="dxa"/>
            <w:vAlign w:val="bottom"/>
          </w:tcPr>
          <w:p>
            <w:pPr>
              <w:spacing w:after="0"/>
              <w:rPr>
                <w:sz w:val="16"/>
                <w:szCs w:val="16"/>
                <w:color w:val="auto"/>
              </w:rPr>
            </w:pPr>
          </w:p>
        </w:tc>
        <w:tc>
          <w:tcPr>
            <w:tcW w:w="84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80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nsive Loss</w:t>
            </w:r>
          </w:p>
        </w:tc>
        <w:tc>
          <w:tcPr>
            <w:tcW w:w="120" w:type="dxa"/>
            <w:vAlign w:val="bottom"/>
          </w:tcPr>
          <w:p>
            <w:pPr>
              <w:spacing w:after="0"/>
              <w:rPr>
                <w:sz w:val="16"/>
                <w:szCs w:val="16"/>
                <w:color w:val="auto"/>
              </w:rPr>
            </w:pPr>
          </w:p>
        </w:tc>
        <w:tc>
          <w:tcPr>
            <w:tcW w:w="80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6"/>
                <w:szCs w:val="16"/>
                <w:color w:val="auto"/>
              </w:rPr>
            </w:pPr>
          </w:p>
        </w:tc>
        <w:tc>
          <w:tcPr>
            <w:tcW w:w="820" w:type="dxa"/>
            <w:vAlign w:val="bottom"/>
            <w:tcBorders>
              <w:bottom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g Interest</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2023</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285</w:t>
            </w:r>
          </w:p>
        </w:tc>
        <w:tc>
          <w:tcPr>
            <w:tcW w:w="56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1,027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(748 )</w:t>
            </w: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5,289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5,579</w:t>
            </w:r>
          </w:p>
        </w:tc>
        <w:tc>
          <w:tcPr>
            <w:tcW w:w="0" w:type="dxa"/>
            <w:vAlign w:val="bottom"/>
          </w:tcPr>
          <w:p>
            <w:pPr>
              <w:spacing w:after="0"/>
              <w:rPr>
                <w:sz w:val="1"/>
                <w:szCs w:val="1"/>
                <w:color w:val="auto"/>
              </w:rPr>
            </w:pPr>
          </w:p>
        </w:tc>
      </w:tr>
      <w:tr>
        <w:trPr>
          <w:trHeight w:val="196"/>
        </w:trPr>
        <w:tc>
          <w:tcPr>
            <w:tcW w:w="3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293</w:t>
            </w: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 employee stock compensation plans: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5"/>
        </w:trPr>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incentive plans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non-controlling interest acquired (disposed)</w:t>
            </w: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39"/>
        </w:trPr>
        <w:tc>
          <w:tcPr>
            <w:tcW w:w="38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Repurchase shares to fund tax withholdings for non-cash stock-</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(54 )</w:t>
            </w:r>
          </w:p>
        </w:tc>
        <w:tc>
          <w:tcPr>
            <w:tcW w:w="0" w:type="dxa"/>
            <w:vAlign w:val="bottom"/>
          </w:tcPr>
          <w:p>
            <w:pPr>
              <w:spacing w:after="0"/>
              <w:rPr>
                <w:sz w:val="1"/>
                <w:szCs w:val="1"/>
                <w:color w:val="auto"/>
              </w:rPr>
            </w:pPr>
          </w:p>
        </w:tc>
      </w:tr>
      <w:tr>
        <w:trPr>
          <w:trHeight w:val="185"/>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based compensation</w:t>
            </w: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dividends paid ($0.1300 per share)</w:t>
            </w:r>
          </w:p>
        </w:tc>
        <w:tc>
          <w:tcPr>
            <w:tcW w:w="9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560" w:type="dxa"/>
            <w:vAlign w:val="bottom"/>
            <w:tcBorders>
              <w:bottom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(38 )</w:t>
            </w:r>
          </w:p>
        </w:tc>
        <w:tc>
          <w:tcPr>
            <w:tcW w:w="0" w:type="dxa"/>
            <w:vAlign w:val="bottom"/>
          </w:tcPr>
          <w:p>
            <w:pPr>
              <w:spacing w:after="0"/>
              <w:rPr>
                <w:sz w:val="1"/>
                <w:szCs w:val="1"/>
                <w:color w:val="auto"/>
              </w:rPr>
            </w:pPr>
          </w:p>
        </w:tc>
      </w:tr>
      <w:tr>
        <w:trPr>
          <w:trHeight w:val="169"/>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2024</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285</w:t>
            </w:r>
          </w:p>
        </w:tc>
        <w:tc>
          <w:tcPr>
            <w:tcW w:w="5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(748 )</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5,544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5,787</w:t>
            </w:r>
          </w:p>
        </w:tc>
        <w:tc>
          <w:tcPr>
            <w:tcW w:w="0" w:type="dxa"/>
            <w:vAlign w:val="bottom"/>
          </w:tcPr>
          <w:p>
            <w:pPr>
              <w:spacing w:after="0"/>
              <w:rPr>
                <w:sz w:val="1"/>
                <w:szCs w:val="1"/>
                <w:color w:val="auto"/>
              </w:rPr>
            </w:pPr>
          </w:p>
        </w:tc>
      </w:tr>
      <w:tr>
        <w:trPr>
          <w:trHeight w:val="169"/>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4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70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5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tcBorders>
              <w:top w:val="single" w:sz="8" w:color="auto"/>
            </w:tcBorders>
            <w:shd w:val="clear" w:color="auto" w:fill="CFF0FC"/>
          </w:tcPr>
          <w:p>
            <w:pPr>
              <w:spacing w:after="0"/>
              <w:rPr>
                <w:sz w:val="14"/>
                <w:szCs w:val="14"/>
                <w:color w:val="auto"/>
              </w:rPr>
            </w:pPr>
          </w:p>
        </w:tc>
        <w:tc>
          <w:tcPr>
            <w:tcW w:w="58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257</w:t>
            </w:r>
          </w:p>
        </w:tc>
        <w:tc>
          <w:tcPr>
            <w:tcW w:w="10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FF0FC"/>
          </w:tcPr>
          <w:p>
            <w:pPr>
              <w:spacing w:after="0"/>
              <w:rPr>
                <w:sz w:val="14"/>
                <w:szCs w:val="14"/>
                <w:color w:val="auto"/>
              </w:rPr>
            </w:pPr>
          </w:p>
        </w:tc>
        <w:tc>
          <w:tcPr>
            <w:tcW w:w="160" w:type="dxa"/>
            <w:vAlign w:val="bottom"/>
            <w:tcBorders>
              <w:top w:val="single" w:sz="8" w:color="auto"/>
            </w:tcBorders>
            <w:shd w:val="clear" w:color="auto" w:fill="CFF0FC"/>
          </w:tcPr>
          <w:p>
            <w:pPr>
              <w:spacing w:after="0"/>
              <w:rPr>
                <w:sz w:val="14"/>
                <w:szCs w:val="14"/>
                <w:color w:val="auto"/>
              </w:rPr>
            </w:pPr>
          </w:p>
        </w:tc>
        <w:tc>
          <w:tcPr>
            <w:tcW w:w="680" w:type="dxa"/>
            <w:vAlign w:val="bottom"/>
            <w:tcBorders>
              <w:top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Shares issued - employee stock compensation plans:</w:t>
            </w: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Stock incentive plans</w:t>
            </w: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Directors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75"/>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dividends paid ($0.1300 per share)</w:t>
            </w:r>
          </w:p>
        </w:tc>
        <w:tc>
          <w:tcPr>
            <w:tcW w:w="9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(37 )</w:t>
            </w:r>
          </w:p>
        </w:tc>
        <w:tc>
          <w:tcPr>
            <w:tcW w:w="0" w:type="dxa"/>
            <w:vAlign w:val="bottom"/>
          </w:tcPr>
          <w:p>
            <w:pPr>
              <w:spacing w:after="0"/>
              <w:rPr>
                <w:sz w:val="1"/>
                <w:szCs w:val="1"/>
                <w:color w:val="auto"/>
              </w:rPr>
            </w:pPr>
          </w:p>
        </w:tc>
      </w:tr>
      <w:tr>
        <w:trPr>
          <w:trHeight w:val="169"/>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285</w:t>
            </w:r>
          </w:p>
        </w:tc>
        <w:tc>
          <w:tcPr>
            <w:tcW w:w="560" w:type="dxa"/>
            <w:vAlign w:val="bottom"/>
            <w:gridSpan w:val="2"/>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1,027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(748 )</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(47 )</w:t>
            </w:r>
          </w:p>
        </w:tc>
        <w:tc>
          <w:tcPr>
            <w:tcW w:w="3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5,764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6,037</w:t>
            </w:r>
          </w:p>
        </w:tc>
        <w:tc>
          <w:tcPr>
            <w:tcW w:w="0" w:type="dxa"/>
            <w:vAlign w:val="bottom"/>
          </w:tcPr>
          <w:p>
            <w:pPr>
              <w:spacing w:after="0"/>
              <w:rPr>
                <w:sz w:val="1"/>
                <w:szCs w:val="1"/>
                <w:color w:val="auto"/>
              </w:rPr>
            </w:pPr>
          </w:p>
        </w:tc>
      </w:tr>
      <w:tr>
        <w:trPr>
          <w:trHeight w:val="169"/>
        </w:trPr>
        <w:tc>
          <w:tcPr>
            <w:tcW w:w="3820" w:type="dxa"/>
            <w:vAlign w:val="bottom"/>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Borders>
              <w:top w:val="single" w:sz="8" w:color="auto"/>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December 31, 2022</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283</w:t>
            </w:r>
          </w:p>
        </w:tc>
        <w:tc>
          <w:tcPr>
            <w:tcW w:w="56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920</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(748 )</w:t>
            </w: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(148 )</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4,553</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4,607</w:t>
            </w:r>
          </w:p>
        </w:tc>
        <w:tc>
          <w:tcPr>
            <w:tcW w:w="0" w:type="dxa"/>
            <w:vAlign w:val="bottom"/>
          </w:tcPr>
          <w:p>
            <w:pPr>
              <w:spacing w:after="0"/>
              <w:rPr>
                <w:sz w:val="1"/>
                <w:szCs w:val="1"/>
                <w:color w:val="auto"/>
              </w:rPr>
            </w:pPr>
          </w:p>
        </w:tc>
      </w:tr>
      <w:tr>
        <w:trPr>
          <w:trHeight w:val="196"/>
        </w:trPr>
        <w:tc>
          <w:tcPr>
            <w:tcW w:w="3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236</w:t>
            </w: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 employee stock compensation plans: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75"/>
        </w:trPr>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incentive plans</w:t>
            </w:r>
          </w:p>
        </w:tc>
        <w:tc>
          <w:tcPr>
            <w:tcW w:w="9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39"/>
        </w:trPr>
        <w:tc>
          <w:tcPr>
            <w:tcW w:w="38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Repurchase shares to fund tax withholdings for non-cash stock-</w:t>
            </w:r>
          </w:p>
        </w:tc>
        <w:tc>
          <w:tcPr>
            <w:tcW w:w="9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44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(36 )</w:t>
            </w:r>
          </w:p>
        </w:tc>
        <w:tc>
          <w:tcPr>
            <w:tcW w:w="0" w:type="dxa"/>
            <w:vAlign w:val="bottom"/>
          </w:tcPr>
          <w:p>
            <w:pPr>
              <w:spacing w:after="0"/>
              <w:rPr>
                <w:sz w:val="1"/>
                <w:szCs w:val="1"/>
                <w:color w:val="auto"/>
              </w:rPr>
            </w:pPr>
          </w:p>
        </w:tc>
      </w:tr>
      <w:tr>
        <w:trPr>
          <w:trHeight w:val="185"/>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based compensation</w:t>
            </w:r>
          </w:p>
        </w:tc>
        <w:tc>
          <w:tcPr>
            <w:tcW w:w="9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4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8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dividends paid ($0.1150 per share)</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(33 )</w:t>
            </w:r>
          </w:p>
        </w:tc>
        <w:tc>
          <w:tcPr>
            <w:tcW w:w="0" w:type="dxa"/>
            <w:vAlign w:val="bottom"/>
          </w:tcPr>
          <w:p>
            <w:pPr>
              <w:spacing w:after="0"/>
              <w:rPr>
                <w:sz w:val="1"/>
                <w:szCs w:val="1"/>
                <w:color w:val="auto"/>
              </w:rPr>
            </w:pPr>
          </w:p>
        </w:tc>
      </w:tr>
      <w:tr>
        <w:trPr>
          <w:trHeight w:val="169"/>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2023</w:t>
            </w:r>
          </w:p>
        </w:tc>
        <w:tc>
          <w:tcPr>
            <w:tcW w:w="9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284</w:t>
            </w:r>
          </w:p>
        </w:tc>
        <w:tc>
          <w:tcPr>
            <w:tcW w:w="560" w:type="dxa"/>
            <w:vAlign w:val="bottom"/>
            <w:gridSpan w:val="2"/>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30</w:t>
            </w:r>
          </w:p>
        </w:tc>
        <w:tc>
          <w:tcPr>
            <w:tcW w:w="2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908</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(748 )</w:t>
            </w:r>
          </w:p>
        </w:tc>
        <w:tc>
          <w:tcPr>
            <w:tcW w:w="3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(101 )</w:t>
            </w:r>
          </w:p>
        </w:tc>
        <w:tc>
          <w:tcPr>
            <w:tcW w:w="34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4,756</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4,845</w:t>
            </w:r>
          </w:p>
        </w:tc>
        <w:tc>
          <w:tcPr>
            <w:tcW w:w="0" w:type="dxa"/>
            <w:vAlign w:val="bottom"/>
          </w:tcPr>
          <w:p>
            <w:pPr>
              <w:spacing w:after="0"/>
              <w:rPr>
                <w:sz w:val="1"/>
                <w:szCs w:val="1"/>
                <w:color w:val="auto"/>
              </w:rPr>
            </w:pPr>
          </w:p>
        </w:tc>
      </w:tr>
      <w:tr>
        <w:trPr>
          <w:trHeight w:val="169"/>
        </w:trPr>
        <w:tc>
          <w:tcPr>
            <w:tcW w:w="3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190</w:t>
            </w:r>
          </w:p>
        </w:tc>
        <w:tc>
          <w:tcPr>
            <w:tcW w:w="1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75"/>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 issued - employee stock compensation plans: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75"/>
        </w:trPr>
        <w:tc>
          <w:tcPr>
            <w:tcW w:w="3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 incentive plans</w:t>
            </w: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Directors</w:t>
            </w: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9"/>
        </w:trPr>
        <w:tc>
          <w:tcPr>
            <w:tcW w:w="38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Repurchase shares to fund tax withholdings for non-cash stock-</w:t>
            </w: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(3 )</w:t>
            </w:r>
          </w:p>
        </w:tc>
        <w:tc>
          <w:tcPr>
            <w:tcW w:w="0" w:type="dxa"/>
            <w:vAlign w:val="bottom"/>
          </w:tcPr>
          <w:p>
            <w:pPr>
              <w:spacing w:after="0"/>
              <w:rPr>
                <w:sz w:val="1"/>
                <w:szCs w:val="1"/>
                <w:color w:val="auto"/>
              </w:rPr>
            </w:pPr>
          </w:p>
        </w:tc>
      </w:tr>
      <w:tr>
        <w:trPr>
          <w:trHeight w:val="185"/>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based compensation</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3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dividends paid ($0.1150 per share)</w:t>
            </w:r>
          </w:p>
        </w:tc>
        <w:tc>
          <w:tcPr>
            <w:tcW w:w="9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440" w:type="dxa"/>
            <w:vAlign w:val="bottom"/>
            <w:tcBorders>
              <w:bottom w:val="single" w:sz="8" w:color="auto"/>
            </w:tcBorders>
            <w:shd w:val="clear" w:color="auto" w:fill="CFF0FC"/>
          </w:tcPr>
          <w:p>
            <w:pPr>
              <w:spacing w:after="0"/>
              <w:rPr>
                <w:sz w:val="15"/>
                <w:szCs w:val="15"/>
                <w:color w:val="auto"/>
              </w:rPr>
            </w:pPr>
          </w:p>
        </w:tc>
        <w:tc>
          <w:tcPr>
            <w:tcW w:w="4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70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56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10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(32 )</w:t>
            </w:r>
          </w:p>
        </w:tc>
        <w:tc>
          <w:tcPr>
            <w:tcW w:w="0" w:type="dxa"/>
            <w:vAlign w:val="bottom"/>
          </w:tcPr>
          <w:p>
            <w:pPr>
              <w:spacing w:after="0"/>
              <w:rPr>
                <w:sz w:val="1"/>
                <w:szCs w:val="1"/>
                <w:color w:val="auto"/>
              </w:rPr>
            </w:pPr>
          </w:p>
        </w:tc>
      </w:tr>
      <w:tr>
        <w:trPr>
          <w:trHeight w:val="169"/>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9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284</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Pr>
          <w:p>
            <w:pPr>
              <w:spacing w:after="0"/>
              <w:rPr>
                <w:sz w:val="14"/>
                <w:szCs w:val="14"/>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927</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(748 )</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(50 )</w:t>
            </w:r>
          </w:p>
        </w:tc>
        <w:tc>
          <w:tcPr>
            <w:tcW w:w="12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4,914</w:t>
            </w:r>
          </w:p>
        </w:tc>
        <w:tc>
          <w:tcPr>
            <w:tcW w:w="10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5,073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2993390</wp:posOffset>
            </wp:positionH>
            <wp:positionV relativeFrom="paragraph">
              <wp:posOffset>-4451985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-4451985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-4451985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-4451985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-4451985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-4451985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-4451985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-3424555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-3424555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-3424555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-3424555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-3424555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-3424555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-3424555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-2516505</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-2516505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-2516505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-2516505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-2516505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-2516505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-2516505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-2157095</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-2157095</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-2157095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-2157095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-2157095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-2157095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-2157095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-1120775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-1120775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-1120775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-1120775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-1120775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-1120775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-1120775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2993390</wp:posOffset>
            </wp:positionH>
            <wp:positionV relativeFrom="paragraph">
              <wp:posOffset>-127635</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3609975</wp:posOffset>
            </wp:positionH>
            <wp:positionV relativeFrom="paragraph">
              <wp:posOffset>-127635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-127635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4791075</wp:posOffset>
            </wp:positionH>
            <wp:positionV relativeFrom="paragraph">
              <wp:posOffset>-127635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-127635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-127635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6537960</wp:posOffset>
            </wp:positionH>
            <wp:positionV relativeFrom="paragraph">
              <wp:posOffset>-127635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1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before non-controlling interests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553</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426</w:t>
            </w:r>
          </w:p>
        </w:tc>
      </w:tr>
      <w:tr>
        <w:trPr>
          <w:trHeight w:val="21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before non-controlling interests to net cash provided by operating</w:t>
            </w: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activities:</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83</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estimated acquisition earn-out payables</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gain on sales/disposals of investments, fixed assets and customer accounts</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 on acquisition earn-outs in excess of original estimated payables</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 from acquisitions and divestitures:</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Commissions, fees and other receivables (increase) decrease</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Reinsurance recoverable (increase) decrease</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644</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reinsurance premiums (increase) decrease</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assets (increase) decrease</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Losses and loss adjustment reserve increase (decrease)</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Unearned premiums increase (decrease)</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increase (decrease)</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101</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 increase (decrease)</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liabilities increase (decrease)</w:t>
            </w: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373</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388</w:t>
            </w:r>
          </w:p>
        </w:tc>
      </w:tr>
      <w:tr>
        <w:trPr>
          <w:trHeight w:val="238"/>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to fixed assets</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for businesses acquired, net of cash acquired</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businesses, fixed assets and customer accounts</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58</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sales of investments</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r>
      <w:tr>
        <w:trPr>
          <w:trHeight w:val="238"/>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(134 )</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Fiduciary receivables and liabilities, net</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248</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224</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acquisition earn-outs</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Borrowings on revolving credit facility</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170</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on revolving credit facility</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Repurchase shares to fund tax withholdings for non-cash stock-based compensation</w:t>
            </w: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paid</w:t>
            </w: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provided by/(used in) financing activities</w:t>
            </w: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375</w:t>
            </w:r>
          </w:p>
        </w:tc>
        <w:tc>
          <w:tcPr>
            <w:tcW w:w="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34"/>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 inclusive of fiduciary cash</w:t>
            </w: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 inclusive of fiduciary cash</w:t>
            </w: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671</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230</w:t>
            </w:r>
          </w:p>
        </w:tc>
      </w:tr>
      <w:tr>
        <w:trPr>
          <w:trHeight w:val="241"/>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inclusive of fiduciary cash at beginning of period</w:t>
            </w: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2,303</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2,033</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Cash and cash equivalents inclusive of fiduciary cash at end of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2,974</w:t>
            </w:r>
          </w:p>
        </w:tc>
        <w:tc>
          <w:tcPr>
            <w:tcW w:w="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2,263</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-3638550</wp:posOffset>
            </wp:positionV>
            <wp:extent cx="1111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-2379980</wp:posOffset>
            </wp:positionV>
            <wp:extent cx="1111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-829945</wp:posOffset>
            </wp:positionV>
            <wp:extent cx="1111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-504825</wp:posOffset>
            </wp:positionV>
            <wp:extent cx="1111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-187960</wp:posOffset>
            </wp:positionV>
            <wp:extent cx="1111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77" w:lineRule="exact"/>
        <w:rPr>
          <w:sz w:val="20"/>
          <w:szCs w:val="20"/>
          <w:color w:val="auto"/>
        </w:rPr>
      </w:pPr>
    </w:p>
    <w:p>
      <w:pPr>
        <w:jc w:val="center"/>
        <w:ind w:right="40"/>
        <w:spacing w:after="0" w:line="281" w:lineRule="auto"/>
        <w:rPr>
          <w:sz w:val="20"/>
          <w:szCs w:val="20"/>
          <w:color w:val="auto"/>
        </w:rPr>
      </w:pPr>
      <w:r>
        <w:rPr>
          <w:rFonts w:ascii="Times New Roman" w:cs="Times New Roman" w:eastAsia="Times New Roman" w:hAnsi="Times New Roman"/>
          <w:sz w:val="18"/>
          <w:szCs w:val="18"/>
          <w:color w:val="auto"/>
        </w:rPr>
        <w:t>See accompanying Notes to Condensed Consolidated Financial Statements. Refer to Note 10 for the reconciliations of cash and cash equivalents inclusive of fiduciary cash.</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121" w:lineRule="exact"/>
        <w:rPr>
          <w:sz w:val="20"/>
          <w:szCs w:val="20"/>
          <w:color w:val="auto"/>
        </w:rPr>
      </w:pPr>
    </w:p>
    <w:p>
      <w:pPr>
        <w:ind w:firstLine="499"/>
        <w:spacing w:after="0" w:line="253" w:lineRule="auto"/>
        <w:rPr>
          <w:sz w:val="20"/>
          <w:szCs w:val="20"/>
          <w:color w:val="auto"/>
        </w:rPr>
      </w:pPr>
      <w:r>
        <w:rPr>
          <w:rFonts w:ascii="Times New Roman" w:cs="Times New Roman" w:eastAsia="Times New Roman" w:hAnsi="Times New Roman"/>
          <w:sz w:val="18"/>
          <w:szCs w:val="18"/>
          <w:color w:val="auto"/>
        </w:rPr>
        <w:t>Brown &amp; Brown, Inc., a Florida corporation, and its subsidiaries (collectively, “Brown &amp; Brown” or the “Company”) is a diversified insurance agency, wholesale brokerage, insurance programs and service organization that markets and sells insurance products and services, primarily in the property, casualty and employee benefits areas. Brown &amp; Brown’s business is divided into three reportable segments. The Retail segment provides a broad range of insurance products and services to commercial, public and quasi-public entities, professional and individual insured customers, and non-insurance risk-mitigating products through our automobile and recreational vehicle dealer services (“F&amp;I”) businesses. The Programs segment, which acts as a managing general underwriter (“MGU”), provides professional liability and related package products for certain professionals, a range of insurance products for individuals, flood coverage, and targeted products and services designated for specific industries, trade groups, governmental entities and market niches, all of which are delivered through a nationwide network of independent agents, including Brown &amp; Brown retail agents. The Wholesale Brokerage segment markets and sells excess and surplus commercial and personal lines insurance, primarily through independent agents and brokers, as well as Brown &amp; Brown retail agents.</w:t>
      </w:r>
    </w:p>
    <w:p>
      <w:pPr>
        <w:spacing w:after="0" w:line="83"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The Company primarily operates as an agent or broker not assuming underwriting risks. However, we operate a write-your-own flood insurance carrier, Wright National Flood Insurance Company (“WNFIC”). WNFIC’s underwriting business consists of policies written pursuant to the National Flood Insurance Program (“NFIP”), the program administered by the Federal Emergency Management Agency (“FEMA”) to which premiums and underwriting exposure are ceded, and excess flood policies which are fully reinsured in the private market. The Company also operates two capitalized captive insurance facilities (the "Captives") for the purpose of facilitating additional underwriting capacity, generating incremental revenues and participating in underwriting results.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Financial Reporting</w:t>
      </w:r>
    </w:p>
    <w:p>
      <w:pPr>
        <w:spacing w:after="0" w:line="121"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generally accepted accounting principles in the United States of America (“U.S. GAAP”) for interim financial information and with the instructions for Form 10-Q and Article 10 of Regulation S-X. Accordingly, they do not include all of the information and footnotes required by U.S. GAAP for complete financial statements. In the opinion of management, all adjustments (consisting of recurring accruals) necessary for a fair presentation have been included. These unaudited Condensed Consolidated Financial Statements should be read in conjunction with the audited Consolidated Financial Statements and the Notes thereto set forth in the Company’s Annual Report on Form 10-K for the year ended December 31, 2023.</w:t>
      </w:r>
    </w:p>
    <w:p>
      <w:pPr>
        <w:spacing w:after="0" w:line="78" w:lineRule="exact"/>
        <w:rPr>
          <w:sz w:val="20"/>
          <w:szCs w:val="20"/>
          <w:color w:val="auto"/>
        </w:rPr>
      </w:pPr>
    </w:p>
    <w:p>
      <w:pPr>
        <w:ind w:firstLine="494"/>
        <w:spacing w:after="0" w:line="265" w:lineRule="auto"/>
        <w:rPr>
          <w:sz w:val="20"/>
          <w:szCs w:val="20"/>
          <w:color w:val="auto"/>
        </w:rPr>
      </w:pPr>
      <w:r>
        <w:rPr>
          <w:rFonts w:ascii="Times New Roman" w:cs="Times New Roman" w:eastAsia="Times New Roman" w:hAnsi="Times New Roman"/>
          <w:sz w:val="18"/>
          <w:szCs w:val="18"/>
          <w:color w:val="auto"/>
        </w:rPr>
        <w:t>The preparation of these financial statements in conformity with U.S. GAAP requires management to make estimates and assumptions that affect the reported amounts of assets and liabilities, as well as disclosures of contingent assets and liabilities, at the date of the Condensed Consolidated Financial Statements, and the reported amounts of revenues and expenses during the reporting period. Actual results may differ from those estimates.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Realignment</w:t>
      </w:r>
    </w:p>
    <w:p>
      <w:pPr>
        <w:spacing w:after="0" w:line="121" w:lineRule="exact"/>
        <w:rPr>
          <w:sz w:val="20"/>
          <w:szCs w:val="20"/>
          <w:color w:val="auto"/>
        </w:rPr>
      </w:pPr>
    </w:p>
    <w:p>
      <w:pPr>
        <w:ind w:right="80" w:firstLine="494"/>
        <w:spacing w:after="0" w:line="254" w:lineRule="auto"/>
        <w:rPr>
          <w:sz w:val="20"/>
          <w:szCs w:val="20"/>
          <w:color w:val="auto"/>
        </w:rPr>
      </w:pPr>
      <w:r>
        <w:rPr>
          <w:rFonts w:ascii="Times New Roman" w:cs="Times New Roman" w:eastAsia="Times New Roman" w:hAnsi="Times New Roman"/>
          <w:sz w:val="18"/>
          <w:szCs w:val="18"/>
          <w:color w:val="auto"/>
        </w:rPr>
        <w:t>In conjunction with the divestiture of certain businesses within the Company’s former Services segment in the fourth quarter of 2023, the Company aligned its business from four to three segments beginning in fiscal year 2024. As a result of the segment reorganization, the Services segment was eliminated as a business segment. The Company now reports its financial results in the following three reportable segments: Retail, Programs and Wholesale Brokerage. The historical results, discussion and presentation of our business segments as set forth in the accompanying Condensed Consolidated Financial Statements and these Notes reflect the impact of these changes for all periods presented in order to present segment information on a comparable basis. The results of the businesses sold in the fourth quarter of 2023 are presented within the Programs segment. There is no impact on our previously reported consolidated statements of income, balance sheets, statements of cash flows, statements of comprehensive income or statements of equity resulting from these changes. See Note 12 of these Notes to Condensed Consolidated Financial Statements for further information.</w:t>
      </w:r>
    </w:p>
    <w:p>
      <w:pPr>
        <w:spacing w:after="0" w:line="81" w:lineRule="exact"/>
        <w:rPr>
          <w:sz w:val="20"/>
          <w:szCs w:val="20"/>
          <w:color w:val="auto"/>
        </w:rPr>
      </w:pPr>
    </w:p>
    <w:p>
      <w:pPr>
        <w:ind w:right="280" w:firstLine="494"/>
        <w:spacing w:after="0" w:line="260" w:lineRule="auto"/>
        <w:rPr>
          <w:sz w:val="20"/>
          <w:szCs w:val="20"/>
          <w:color w:val="auto"/>
        </w:rPr>
      </w:pPr>
      <w:r>
        <w:rPr>
          <w:rFonts w:ascii="Times New Roman" w:cs="Times New Roman" w:eastAsia="Times New Roman" w:hAnsi="Times New Roman"/>
          <w:sz w:val="18"/>
          <w:szCs w:val="18"/>
          <w:color w:val="auto"/>
        </w:rPr>
        <w:t>Pursuant to the sale of certain third-party claims administration and adjusting services businesses in the fourth quarter of 2023, the Company is entitled to future consideration payments upon achievement of certain conditions in accordance with the terms of the sale agreement. During the second quarter of 2024, the conditions associated with one of the contingent payments were achieved which resulted in the Company recognizing a gain of $29 million within the Programs segment.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On November 27, 2023, the Financial Accounting Standards Board ("FASB") issued Accounting Standards Update ("ASU") 2023-07, "Improvements to Reportable Segment Disclosures." This ASU requires additional reportable segment disclosures, primarily through enhanced disclosures about significant segment expenses. In addition, the ASU enhances interim disclosure requirements effectively making the current annual requirements a requirement for interim reporting. This ASU is effective for fiscal years beginning after December 15, 2023, and interim periods within fiscal years beginning after December 15, 2024. Early adoption is permitted. The Company is currently evaluating these new disclosure requirements.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6" w:right="379" w:bottom="1440" w:gutter="0" w:footer="0" w:header="0"/>
        </w:sectPr>
      </w:pPr>
    </w:p>
    <w:bookmarkStart w:id="10" w:name="page11"/>
    <w:bookmarkEnd w:id="10"/>
    <w:p>
      <w:pPr>
        <w:ind w:right="220" w:firstLine="494"/>
        <w:spacing w:after="0" w:line="260" w:lineRule="auto"/>
        <w:rPr>
          <w:sz w:val="20"/>
          <w:szCs w:val="20"/>
          <w:color w:val="auto"/>
        </w:rPr>
      </w:pPr>
      <w:r>
        <w:rPr>
          <w:rFonts w:ascii="Times New Roman" w:cs="Times New Roman" w:eastAsia="Times New Roman" w:hAnsi="Times New Roman"/>
          <w:sz w:val="18"/>
          <w:szCs w:val="18"/>
          <w:color w:val="auto"/>
        </w:rPr>
        <w:t>On December 14, 2023, the FASB issued ASU 2023-09, "Improvements to Income Tax Disclosures." This ASU improves the transparency of income tax disclosures by requiring consistent categories and greater disaggregation of information in the rate reconciliation and income taxes paid disaggregated by jurisdiction. This ASU is effective for annual periods beginning after December 15, 2024. Early adoption is permitted. The Company is currently evaluating these new disclosure requirements.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tables present the revenues disaggregated by revenue source: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8"/>
          </w:tcPr>
          <w:p>
            <w:pPr>
              <w:jc w:val="center"/>
              <w:ind w:left="714"/>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(8)</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382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Base commissions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Fees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supplemental commissions </w:t>
            </w:r>
            <w:r>
              <w:rPr>
                <w:rFonts w:ascii="Times New Roman" w:cs="Times New Roman" w:eastAsia="Times New Roman" w:hAnsi="Times New Roman"/>
                <w:sz w:val="24"/>
                <w:szCs w:val="24"/>
                <w:color w:val="auto"/>
                <w:vertAlign w:val="superscript"/>
              </w:rPr>
              <w:t>(3)</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Profit-sharing contingent commissions </w:t>
            </w:r>
            <w:r>
              <w:rPr>
                <w:rFonts w:ascii="Times New Roman" w:cs="Times New Roman" w:eastAsia="Times New Roman" w:hAnsi="Times New Roman"/>
                <w:sz w:val="24"/>
                <w:szCs w:val="24"/>
                <w:color w:val="auto"/>
                <w:vertAlign w:val="superscript"/>
              </w:rPr>
              <w:t>(4)</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Earned premium </w:t>
            </w:r>
            <w:r>
              <w:rPr>
                <w:rFonts w:ascii="Times New Roman" w:cs="Times New Roman" w:eastAsia="Times New Roman" w:hAnsi="Times New Roman"/>
                <w:sz w:val="24"/>
                <w:szCs w:val="24"/>
                <w:color w:val="auto"/>
                <w:vertAlign w:val="superscript"/>
              </w:rPr>
              <w:t>(5)</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4"/>
                <w:szCs w:val="24"/>
                <w:color w:val="auto"/>
                <w:vertAlign w:val="superscript"/>
              </w:rPr>
              <w:t>(6)</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4"/>
                <w:szCs w:val="24"/>
                <w:color w:val="auto"/>
                <w:vertAlign w:val="superscript"/>
              </w:rPr>
              <w:t>(7)</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3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8"/>
          </w:tcPr>
          <w:p>
            <w:pPr>
              <w:jc w:val="center"/>
              <w:ind w:left="714"/>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(8)</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2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Base commissions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Fees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supplemental commissions </w:t>
            </w:r>
            <w:r>
              <w:rPr>
                <w:rFonts w:ascii="Times New Roman" w:cs="Times New Roman" w:eastAsia="Times New Roman" w:hAnsi="Times New Roman"/>
                <w:sz w:val="24"/>
                <w:szCs w:val="24"/>
                <w:color w:val="auto"/>
                <w:vertAlign w:val="superscript"/>
              </w:rPr>
              <w:t>(3)</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Profit-sharing contingent commissions </w:t>
            </w:r>
            <w:r>
              <w:rPr>
                <w:rFonts w:ascii="Times New Roman" w:cs="Times New Roman" w:eastAsia="Times New Roman" w:hAnsi="Times New Roman"/>
                <w:sz w:val="24"/>
                <w:szCs w:val="24"/>
                <w:color w:val="auto"/>
                <w:vertAlign w:val="superscript"/>
              </w:rPr>
              <w:t>(4)</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Earned premium </w:t>
            </w:r>
            <w:r>
              <w:rPr>
                <w:rFonts w:ascii="Times New Roman" w:cs="Times New Roman" w:eastAsia="Times New Roman" w:hAnsi="Times New Roman"/>
                <w:sz w:val="24"/>
                <w:szCs w:val="24"/>
                <w:color w:val="auto"/>
                <w:vertAlign w:val="superscript"/>
              </w:rPr>
              <w:t>(5)</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4"/>
                <w:szCs w:val="24"/>
                <w:color w:val="auto"/>
                <w:vertAlign w:val="superscript"/>
              </w:rPr>
              <w:t>(6)</w:t>
            </w:r>
          </w:p>
        </w:tc>
        <w:tc>
          <w:tcPr>
            <w:tcW w:w="26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4"/>
                <w:szCs w:val="24"/>
                <w:color w:val="auto"/>
                <w:vertAlign w:val="superscript"/>
              </w:rPr>
              <w:t>(7)</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3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8"/>
          </w:tcPr>
          <w:p>
            <w:pPr>
              <w:jc w:val="center"/>
              <w:ind w:left="714"/>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(8)</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382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Base commissions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20" w:type="dxa"/>
            <w:vAlign w:val="bottom"/>
            <w:shd w:val="clear" w:color="auto" w:fill="CFF0FC"/>
          </w:tcPr>
          <w:p>
            <w:pPr>
              <w:spacing w:after="0"/>
              <w:rPr>
                <w:sz w:val="20"/>
                <w:szCs w:val="20"/>
                <w:color w:val="auto"/>
              </w:rPr>
            </w:pP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120" w:type="dxa"/>
            <w:vAlign w:val="bottom"/>
            <w:shd w:val="clear" w:color="auto" w:fill="CFF0FC"/>
          </w:tcPr>
          <w:p>
            <w:pPr>
              <w:spacing w:after="0"/>
              <w:rPr>
                <w:sz w:val="20"/>
                <w:szCs w:val="20"/>
                <w:color w:val="auto"/>
              </w:rPr>
            </w:pPr>
          </w:p>
        </w:tc>
        <w:tc>
          <w:tcPr>
            <w:tcW w:w="36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Fees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supplemental commissions </w:t>
            </w:r>
            <w:r>
              <w:rPr>
                <w:rFonts w:ascii="Times New Roman" w:cs="Times New Roman" w:eastAsia="Times New Roman" w:hAnsi="Times New Roman"/>
                <w:sz w:val="24"/>
                <w:szCs w:val="24"/>
                <w:color w:val="auto"/>
                <w:vertAlign w:val="superscript"/>
              </w:rPr>
              <w:t>(3)</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Profit-sharing contingent commissions </w:t>
            </w:r>
            <w:r>
              <w:rPr>
                <w:rFonts w:ascii="Times New Roman" w:cs="Times New Roman" w:eastAsia="Times New Roman" w:hAnsi="Times New Roman"/>
                <w:sz w:val="24"/>
                <w:szCs w:val="24"/>
                <w:color w:val="auto"/>
                <w:vertAlign w:val="superscript"/>
              </w:rPr>
              <w:t>(4)</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Earned premium </w:t>
            </w:r>
            <w:r>
              <w:rPr>
                <w:rFonts w:ascii="Times New Roman" w:cs="Times New Roman" w:eastAsia="Times New Roman" w:hAnsi="Times New Roman"/>
                <w:sz w:val="24"/>
                <w:szCs w:val="24"/>
                <w:color w:val="auto"/>
                <w:vertAlign w:val="superscript"/>
              </w:rPr>
              <w:t>(5)</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4"/>
                <w:szCs w:val="24"/>
                <w:color w:val="auto"/>
                <w:vertAlign w:val="superscript"/>
              </w:rPr>
              <w:t>(6)</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4"/>
                <w:szCs w:val="24"/>
                <w:color w:val="auto"/>
                <w:vertAlign w:val="superscript"/>
              </w:rPr>
              <w:t>(7)</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140" w:type="dxa"/>
            <w:vAlign w:val="bottom"/>
            <w:tcBorders>
              <w:bottom w:val="single" w:sz="8" w:color="auto"/>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auto"/>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auto"/>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12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20" w:type="dxa"/>
            <w:vAlign w:val="bottom"/>
          </w:tcPr>
          <w:p>
            <w:pPr>
              <w:spacing w:after="0"/>
              <w:rPr>
                <w:sz w:val="20"/>
                <w:szCs w:val="20"/>
                <w:color w:val="auto"/>
              </w:rPr>
            </w:pP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0"/>
                <w:szCs w:val="20"/>
                <w:color w:val="auto"/>
              </w:rPr>
            </w:pPr>
          </w:p>
        </w:tc>
        <w:tc>
          <w:tcPr>
            <w:tcW w:w="4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4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8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8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3301365</wp:posOffset>
            </wp:positionH>
            <wp:positionV relativeFrom="paragraph">
              <wp:posOffset>-4657090</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-4657090</wp:posOffset>
            </wp:positionV>
            <wp:extent cx="939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-4657090</wp:posOffset>
            </wp:positionV>
            <wp:extent cx="939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-4657090</wp:posOffset>
            </wp:positionV>
            <wp:extent cx="939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-2901950</wp:posOffset>
            </wp:positionV>
            <wp:extent cx="768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-2901950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-2901950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-2901950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-2901950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-1095375</wp:posOffset>
            </wp:positionV>
            <wp:extent cx="1028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4286250</wp:posOffset>
            </wp:positionH>
            <wp:positionV relativeFrom="paragraph">
              <wp:posOffset>-1095375</wp:posOffset>
            </wp:positionV>
            <wp:extent cx="939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5236845</wp:posOffset>
            </wp:positionH>
            <wp:positionV relativeFrom="paragraph">
              <wp:posOffset>-1095375</wp:posOffset>
            </wp:positionV>
            <wp:extent cx="939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-1095375</wp:posOffset>
            </wp:positionV>
            <wp:extent cx="939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7"/>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0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tcPr>
          <w:p>
            <w:pPr>
              <w:jc w:val="right"/>
              <w:ind w:right="214"/>
              <w:spacing w:after="0" w:line="131"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(8)</w:t>
            </w:r>
          </w:p>
        </w:tc>
        <w:tc>
          <w:tcPr>
            <w:tcW w:w="260" w:type="dxa"/>
            <w:vAlign w:val="bottom"/>
            <w:vMerge w:val="restart"/>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82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Base commissions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Fees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supplemental commissions </w:t>
            </w:r>
            <w:r>
              <w:rPr>
                <w:rFonts w:ascii="Times New Roman" w:cs="Times New Roman" w:eastAsia="Times New Roman" w:hAnsi="Times New Roman"/>
                <w:sz w:val="24"/>
                <w:szCs w:val="24"/>
                <w:color w:val="auto"/>
                <w:vertAlign w:val="superscript"/>
              </w:rPr>
              <w:t>(3)</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Profit-sharing contingent commissions </w:t>
            </w:r>
            <w:r>
              <w:rPr>
                <w:rFonts w:ascii="Times New Roman" w:cs="Times New Roman" w:eastAsia="Times New Roman" w:hAnsi="Times New Roman"/>
                <w:sz w:val="24"/>
                <w:szCs w:val="24"/>
                <w:color w:val="auto"/>
                <w:vertAlign w:val="superscript"/>
              </w:rPr>
              <w:t>(4)</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Earned premium </w:t>
            </w:r>
            <w:r>
              <w:rPr>
                <w:rFonts w:ascii="Times New Roman" w:cs="Times New Roman" w:eastAsia="Times New Roman" w:hAnsi="Times New Roman"/>
                <w:sz w:val="24"/>
                <w:szCs w:val="24"/>
                <w:color w:val="auto"/>
                <w:vertAlign w:val="superscript"/>
              </w:rPr>
              <w:t>(5)</w:t>
            </w:r>
          </w:p>
        </w:tc>
        <w:tc>
          <w:tcPr>
            <w:tcW w:w="2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Investment income </w:t>
            </w:r>
            <w:r>
              <w:rPr>
                <w:rFonts w:ascii="Times New Roman" w:cs="Times New Roman" w:eastAsia="Times New Roman" w:hAnsi="Times New Roman"/>
                <w:sz w:val="24"/>
                <w:szCs w:val="24"/>
                <w:color w:val="auto"/>
                <w:vertAlign w:val="superscript"/>
              </w:rPr>
              <w:t>(6)</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20" w:type="dxa"/>
            <w:vAlign w:val="bottom"/>
            <w:tcBorders>
              <w:bottom w:val="single" w:sz="8" w:color="CFF0FC"/>
            </w:tcBorders>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Other income, net </w:t>
            </w:r>
            <w:r>
              <w:rPr>
                <w:rFonts w:ascii="Times New Roman" w:cs="Times New Roman" w:eastAsia="Times New Roman" w:hAnsi="Times New Roman"/>
                <w:sz w:val="24"/>
                <w:szCs w:val="24"/>
                <w:color w:val="auto"/>
                <w:vertAlign w:val="superscript"/>
              </w:rPr>
              <w:t>(7)</w:t>
            </w:r>
          </w:p>
        </w:tc>
        <w:tc>
          <w:tcPr>
            <w:tcW w:w="2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3224530</wp:posOffset>
            </wp:positionH>
            <wp:positionV relativeFrom="paragraph">
              <wp:posOffset>-187960</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4209415</wp:posOffset>
            </wp:positionH>
            <wp:positionV relativeFrom="paragraph">
              <wp:posOffset>-187960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-187960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-187960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ind w:left="380" w:right="40" w:hanging="372"/>
        <w:spacing w:after="0" w:line="254"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commissions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or sales and payroll levels) to determine what premium to charge the insured. Insurance companies establish these premium rates based upon many factors, including loss experience, risk profile and reinsurance rates paid by such insurance companies, none of which we control.</w:t>
      </w:r>
    </w:p>
    <w:p>
      <w:pPr>
        <w:spacing w:after="0" w:line="1" w:lineRule="exact"/>
        <w:rPr>
          <w:rFonts w:ascii="Times New Roman" w:cs="Times New Roman" w:eastAsia="Times New Roman" w:hAnsi="Times New Roman"/>
          <w:sz w:val="18"/>
          <w:szCs w:val="18"/>
          <w:color w:val="auto"/>
        </w:rPr>
      </w:pPr>
    </w:p>
    <w:p>
      <w:pPr>
        <w:ind w:left="380" w:right="140" w:hanging="372"/>
        <w:spacing w:after="0" w:line="25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revenues relate to fees for services other than securing coverage for our customers, fees negotiated in lieu of commissions, and F&amp;I products and services.</w:t>
      </w:r>
    </w:p>
    <w:p>
      <w:pPr>
        <w:ind w:left="380" w:right="300" w:hanging="372"/>
        <w:spacing w:after="0" w:line="25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supplemental commissions include additional commissions over base commissions received from insurance carriers based on predetermined growth or production measures. This includes incentive commissions and guaranteed supplemental commissions.</w:t>
      </w:r>
    </w:p>
    <w:p>
      <w:pPr>
        <w:ind w:left="380" w:right="400" w:hanging="372"/>
        <w:spacing w:after="0" w:line="250"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Profit-sharing contingent commissions are based primarily on underwriting results, but may also reflect considerations for volume, growth and/or retention.</w:t>
      </w: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Earned premium relates to the premiums earned in the Captives.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consists primarily of interest on cash and investments.</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income consists primarily of other miscellaneous income.</w:t>
      </w:r>
    </w:p>
    <w:p>
      <w:pPr>
        <w:spacing w:after="0" w:line="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within Other reflect the elimination of intercompany revenues.</w:t>
      </w:r>
    </w:p>
    <w:p>
      <w:pPr>
        <w:spacing w:after="0" w:line="2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revenues disaggregated by geographic area where our services are being performed: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2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918</w:t>
            </w:r>
          </w:p>
        </w:tc>
        <w:tc>
          <w:tcPr>
            <w:tcW w:w="124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24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1,916</w:t>
            </w:r>
          </w:p>
        </w:tc>
        <w:tc>
          <w:tcPr>
            <w:tcW w:w="100" w:type="dxa"/>
            <w:vAlign w:val="bottom"/>
            <w:shd w:val="clear" w:color="auto" w:fill="CFF0FC"/>
          </w:tcPr>
          <w:p>
            <w:pPr>
              <w:spacing w:after="0"/>
              <w:rPr>
                <w:sz w:val="20"/>
                <w:szCs w:val="20"/>
                <w:color w:val="auto"/>
              </w:rPr>
            </w:pPr>
          </w:p>
        </w:tc>
      </w:t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U.K.</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r>
      <w:tr>
        <w:trPr>
          <w:trHeight w:val="247"/>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Republic of Ireland</w:t>
            </w:r>
          </w:p>
        </w:tc>
        <w:tc>
          <w:tcPr>
            <w:tcW w:w="9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21"/>
                <w:szCs w:val="21"/>
                <w:color w:val="auto"/>
              </w:rPr>
            </w:pPr>
          </w:p>
        </w:tc>
      </w:t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0"/>
                <w:szCs w:val="20"/>
                <w:color w:val="auto"/>
              </w:rPr>
            </w:pPr>
          </w:p>
        </w:tc>
      </w:tr>
      <w:tr>
        <w:trPr>
          <w:trHeight w:val="243"/>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960" w:type="dxa"/>
            <w:vAlign w:val="bottom"/>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2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4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24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Pr>
          <w:p>
            <w:pPr>
              <w:spacing w:after="0"/>
              <w:rPr>
                <w:sz w:val="20"/>
                <w:szCs w:val="20"/>
                <w:color w:val="auto"/>
              </w:rPr>
            </w:pPr>
          </w:p>
        </w:tc>
      </w:tr>
      <w:tr>
        <w:trPr>
          <w:trHeight w:val="20"/>
        </w:trPr>
        <w:tc>
          <w:tcPr>
            <w:tcW w:w="44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3729355</wp:posOffset>
            </wp:positionH>
            <wp:positionV relativeFrom="paragraph">
              <wp:posOffset>-187960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-187960</wp:posOffset>
            </wp:positionV>
            <wp:extent cx="7683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-187960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Liabilities</w:t>
      </w:r>
    </w:p>
    <w:p>
      <w:pPr>
        <w:spacing w:after="0" w:line="121" w:lineRule="exact"/>
        <w:rPr>
          <w:sz w:val="20"/>
          <w:szCs w:val="20"/>
          <w:color w:val="auto"/>
        </w:rPr>
      </w:pPr>
    </w:p>
    <w:p>
      <w:pPr>
        <w:ind w:right="320" w:firstLine="499"/>
        <w:spacing w:after="0" w:line="281" w:lineRule="auto"/>
        <w:rPr>
          <w:sz w:val="20"/>
          <w:szCs w:val="20"/>
          <w:color w:val="auto"/>
        </w:rPr>
      </w:pPr>
      <w:r>
        <w:rPr>
          <w:rFonts w:ascii="Times New Roman" w:cs="Times New Roman" w:eastAsia="Times New Roman" w:hAnsi="Times New Roman"/>
          <w:sz w:val="18"/>
          <w:szCs w:val="18"/>
          <w:color w:val="auto"/>
        </w:rPr>
        <w:t>The balances of contract assets and contract liabilities arising from contracts with customers as of June 30, 2024 and December 31, 2023 were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240" w:type="dxa"/>
            <w:vAlign w:val="bottom"/>
            <w:shd w:val="clear" w:color="auto" w:fill="CFF0FC"/>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538</w:t>
            </w:r>
          </w:p>
        </w:tc>
        <w:tc>
          <w:tcPr>
            <w:tcW w:w="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473</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240" w:type="dxa"/>
            <w:vAlign w:val="bottom"/>
          </w:tcPr>
          <w:p>
            <w:pPr>
              <w:jc w:val="right"/>
              <w:ind w:right="10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113</w:t>
            </w:r>
          </w:p>
        </w:tc>
      </w:tr>
    </w:tbl>
    <w:p>
      <w:pPr>
        <w:spacing w:after="0" w:line="98" w:lineRule="exact"/>
        <w:rPr>
          <w:sz w:val="20"/>
          <w:szCs w:val="20"/>
          <w:color w:val="auto"/>
        </w:rPr>
      </w:pPr>
    </w:p>
    <w:p>
      <w:pPr>
        <w:ind w:right="220" w:firstLine="494"/>
        <w:spacing w:after="0" w:line="288" w:lineRule="auto"/>
        <w:rPr>
          <w:sz w:val="20"/>
          <w:szCs w:val="20"/>
          <w:color w:val="auto"/>
        </w:rPr>
      </w:pPr>
      <w:r>
        <w:rPr>
          <w:rFonts w:ascii="Times New Roman" w:cs="Times New Roman" w:eastAsia="Times New Roman" w:hAnsi="Times New Roman"/>
          <w:sz w:val="17"/>
          <w:szCs w:val="17"/>
          <w:color w:val="auto"/>
        </w:rPr>
        <w:t>Unbilled receivables (contract assets) arise when the Company recognizes revenue for amounts which have not yet been billed in the Company's systems and are reflected in commissions, fees and other receivables in the Company's Condensed Consolidated Balance Sheets. The increase in contract assets over the balance as of December 31, 2023 is due to growth in the business, businesses acquired in the current year and normal seasonality.</w:t>
      </w:r>
    </w:p>
    <w:p>
      <w:pPr>
        <w:spacing w:after="0" w:line="51" w:lineRule="exact"/>
        <w:rPr>
          <w:sz w:val="20"/>
          <w:szCs w:val="20"/>
          <w:color w:val="auto"/>
        </w:rPr>
      </w:pPr>
    </w:p>
    <w:p>
      <w:pPr>
        <w:ind w:right="120" w:firstLine="494"/>
        <w:spacing w:after="0" w:line="265" w:lineRule="auto"/>
        <w:rPr>
          <w:sz w:val="20"/>
          <w:szCs w:val="20"/>
          <w:color w:val="auto"/>
        </w:rPr>
      </w:pPr>
      <w:r>
        <w:rPr>
          <w:rFonts w:ascii="Times New Roman" w:cs="Times New Roman" w:eastAsia="Times New Roman" w:hAnsi="Times New Roman"/>
          <w:sz w:val="18"/>
          <w:szCs w:val="18"/>
          <w:color w:val="auto"/>
        </w:rPr>
        <w:t>Deferred revenue (contract liabilities) relates to payments received in advance of performance under the contract before the transfer of a good or service to the customer. Deferred revenue is reflected within accrued expenses and other liabilities for those to be recognized in less than 12 months and in other liabilities for those to be recognized more than 12 months from the date presented in the Company's Condensed Consolidated Balance Sheets.</w:t>
      </w:r>
    </w:p>
    <w:p>
      <w:pPr>
        <w:spacing w:after="0" w:line="69" w:lineRule="exact"/>
        <w:rPr>
          <w:sz w:val="20"/>
          <w:szCs w:val="20"/>
          <w:color w:val="auto"/>
        </w:rPr>
      </w:pPr>
    </w:p>
    <w:p>
      <w:pPr>
        <w:jc w:val="both"/>
        <w:ind w:right="120" w:firstLine="494"/>
        <w:spacing w:after="0" w:line="265" w:lineRule="auto"/>
        <w:rPr>
          <w:sz w:val="20"/>
          <w:szCs w:val="20"/>
          <w:color w:val="auto"/>
        </w:rPr>
      </w:pPr>
      <w:r>
        <w:rPr>
          <w:rFonts w:ascii="Times New Roman" w:cs="Times New Roman" w:eastAsia="Times New Roman" w:hAnsi="Times New Roman"/>
          <w:sz w:val="18"/>
          <w:szCs w:val="18"/>
          <w:color w:val="auto"/>
        </w:rPr>
        <w:t>As of June 30, 2024, deferred revenue consisted of $70 million as the current portion to be recognized within one year and $39 million in long-term to be recognized beyond one year. As of December 31, 2023, deferred revenue consisted of $78 million as the current portion to be recognized within one year and $35 million in long-term deferred revenue to be recognized beyond one year.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2" w:right="339" w:bottom="1440" w:gutter="0" w:footer="0" w:header="0"/>
        </w:sectPr>
      </w:pPr>
    </w:p>
    <w:bookmarkStart w:id="12" w:name="page13"/>
    <w:bookmarkEnd w:id="12"/>
    <w:p>
      <w:pPr>
        <w:ind w:right="220" w:firstLine="494"/>
        <w:spacing w:after="0" w:line="265" w:lineRule="auto"/>
        <w:rPr>
          <w:sz w:val="20"/>
          <w:szCs w:val="20"/>
          <w:color w:val="auto"/>
        </w:rPr>
      </w:pPr>
      <w:r>
        <w:rPr>
          <w:rFonts w:ascii="Times New Roman" w:cs="Times New Roman" w:eastAsia="Times New Roman" w:hAnsi="Times New Roman"/>
          <w:sz w:val="18"/>
          <w:szCs w:val="18"/>
          <w:color w:val="auto"/>
        </w:rPr>
        <w:t>During the six months ended June 30, 2024 and 2023, the net amount of revenue recognized related to performance obligations satisfied in a previous period was $21 million and $22 million, consisting of additional variable consideration received on our incentive and profit-sharing contingent commissions.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 and Deferred Cost</w:t>
      </w:r>
    </w:p>
    <w:p>
      <w:pPr>
        <w:spacing w:after="0" w:line="121" w:lineRule="exact"/>
        <w:rPr>
          <w:sz w:val="20"/>
          <w:szCs w:val="20"/>
          <w:color w:val="auto"/>
        </w:rPr>
      </w:pPr>
    </w:p>
    <w:p>
      <w:pPr>
        <w:ind w:right="100" w:firstLine="494"/>
        <w:spacing w:after="0" w:line="256" w:lineRule="auto"/>
        <w:rPr>
          <w:sz w:val="20"/>
          <w:szCs w:val="20"/>
          <w:color w:val="auto"/>
        </w:rPr>
      </w:pPr>
      <w:r>
        <w:rPr>
          <w:rFonts w:ascii="Times New Roman" w:cs="Times New Roman" w:eastAsia="Times New Roman" w:hAnsi="Times New Roman"/>
          <w:sz w:val="18"/>
          <w:szCs w:val="18"/>
          <w:color w:val="auto"/>
        </w:rPr>
        <w:t>Incremental cost to obtain - The Company defers certain costs to obtain customer contracts primarily as they relate to commission-based compensation plans in the Retail segment, in which the Company pays an incremental amount of compensation on new business. These incremental costs are deferred and amortized over a 15-year period. The cost to obtain balance within the other assets caption in the Company's Condensed Consolidated Balance Sheets was $108 million and $96 million as of June 30, 2024 and December 31, 2023, respectively. For the six months ended June 30, 2024, the Company deferred $16 million of incremental cost to obtain customer contracts. The Company recorded an expense of $4 million associated with the incremental cost to obtain customer contracts for the six months ended June 30, 2024.</w:t>
      </w:r>
    </w:p>
    <w:p>
      <w:pPr>
        <w:spacing w:after="0" w:line="78" w:lineRule="exact"/>
        <w:rPr>
          <w:sz w:val="20"/>
          <w:szCs w:val="20"/>
          <w:color w:val="auto"/>
        </w:rPr>
      </w:pPr>
    </w:p>
    <w:p>
      <w:pPr>
        <w:ind w:firstLine="494"/>
        <w:spacing w:after="0" w:line="258" w:lineRule="auto"/>
        <w:rPr>
          <w:sz w:val="20"/>
          <w:szCs w:val="20"/>
          <w:color w:val="auto"/>
        </w:rPr>
      </w:pPr>
      <w:r>
        <w:rPr>
          <w:rFonts w:ascii="Times New Roman" w:cs="Times New Roman" w:eastAsia="Times New Roman" w:hAnsi="Times New Roman"/>
          <w:sz w:val="18"/>
          <w:szCs w:val="18"/>
          <w:color w:val="auto"/>
        </w:rPr>
        <w:t>Cost to fulfill - The Company defers certain costs to fulfill contracts and recognizes these costs as the associated performance obligations are fulfilled. The cost to fulfill balance within the other current assets caption in the Company's Condensed Consolidated Balance Sheets as of June 30, 2024 was $114 million. The cost to fulfill balance as of December 31, 2023 was $123 million. For the six months ended June 30, 2024, the Company had net expense of $10 million related to the release of previously deferred contract fulfillment costs associated with performance obligations that were satisfied in the period, net of current year deferrals for costs incurred that related to performance obligations yet to be fulfilled.</w:t>
      </w:r>
    </w:p>
    <w:p>
      <w:pPr>
        <w:spacing w:after="0" w:line="1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2" w:right="4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4 Net Income Per Share</w:t>
      </w:r>
    </w:p>
    <w:p>
      <w:pPr>
        <w:spacing w:after="0" w:line="121" w:lineRule="exact"/>
        <w:rPr>
          <w:sz w:val="20"/>
          <w:szCs w:val="20"/>
          <w:color w:val="auto"/>
        </w:rPr>
      </w:pPr>
    </w:p>
    <w:p>
      <w:pPr>
        <w:ind w:right="140" w:firstLine="499"/>
        <w:spacing w:after="0" w:line="280" w:lineRule="auto"/>
        <w:rPr>
          <w:sz w:val="20"/>
          <w:szCs w:val="20"/>
          <w:color w:val="auto"/>
        </w:rPr>
      </w:pPr>
      <w:r>
        <w:rPr>
          <w:rFonts w:ascii="Times New Roman" w:cs="Times New Roman" w:eastAsia="Times New Roman" w:hAnsi="Times New Roman"/>
          <w:sz w:val="17"/>
          <w:szCs w:val="17"/>
          <w:color w:val="auto"/>
        </w:rPr>
        <w:t>Basic net income per share is computed based on the weighted average number of common shares (including participating securities) issued and outstanding during the period. Diluted net income per share is computed based on the weighted average number of common shares issued and outstanding plus equivalent shares, assuming the issuance of all potentially issuable common shares. The dilutive effect of potentially issuable common shares is computed by application of the treasury stock method. The following is a reconciliation between basic and diluted weighted average shares outstanding: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 share data)</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the Company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257</w:t>
            </w: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190</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550</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unvested awarded performance stock</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r>
        <w:trPr>
          <w:trHeight w:val="27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254</w:t>
            </w:r>
          </w:p>
        </w:tc>
        <w:tc>
          <w:tcPr>
            <w:tcW w:w="4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187</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544</w:t>
            </w:r>
          </w:p>
        </w:tc>
        <w:tc>
          <w:tcPr>
            <w:tcW w:w="40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2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1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unvested awarded performance stock included in weighted</w:t>
            </w:r>
          </w:p>
        </w:tc>
        <w:tc>
          <w:tcPr>
            <w:tcW w:w="240" w:type="dxa"/>
            <w:vAlign w:val="bottom"/>
            <w:shd w:val="clear" w:color="auto" w:fill="CFF0FC"/>
          </w:tcPr>
          <w:p>
            <w:pPr>
              <w:spacing w:after="0"/>
              <w:rPr>
                <w:sz w:val="18"/>
                <w:szCs w:val="18"/>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4"/>
        </w:trPr>
        <w:tc>
          <w:tcPr>
            <w:tcW w:w="582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average number of common shares outstanding – basic</w:t>
            </w:r>
          </w:p>
        </w:tc>
        <w:tc>
          <w:tcPr>
            <w:tcW w:w="2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5820" w:type="dxa"/>
            <w:vAlign w:val="bottom"/>
          </w:tcPr>
          <w:p>
            <w:pPr>
              <w:ind w:left="200"/>
              <w:spacing w:after="0" w:line="204" w:lineRule="exact"/>
              <w:rPr>
                <w:sz w:val="20"/>
                <w:szCs w:val="20"/>
                <w:color w:val="auto"/>
              </w:rPr>
            </w:pPr>
            <w:r>
              <w:rPr>
                <w:rFonts w:ascii="Times New Roman" w:cs="Times New Roman" w:eastAsia="Times New Roman" w:hAnsi="Times New Roman"/>
                <w:sz w:val="18"/>
                <w:szCs w:val="18"/>
                <w:color w:val="auto"/>
              </w:rPr>
              <w:t>Weighted average number of common shares outstanding for basic</w:t>
            </w: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8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40" w:type="dxa"/>
            <w:vAlign w:val="bottom"/>
          </w:tcPr>
          <w:p>
            <w:pPr>
              <w:spacing w:after="0"/>
              <w:rPr>
                <w:sz w:val="20"/>
                <w:szCs w:val="20"/>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282</w:t>
            </w: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281</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45"/>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Dilutive effect of potentially issuable common shares</w:t>
            </w: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outstanding – diluted</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280</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0.90</w:t>
            </w:r>
          </w:p>
        </w:tc>
        <w:tc>
          <w:tcPr>
            <w:tcW w:w="4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0.67</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1.93</w:t>
            </w:r>
          </w:p>
        </w:tc>
        <w:tc>
          <w:tcPr>
            <w:tcW w:w="4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0.90</w:t>
            </w:r>
          </w:p>
        </w:tc>
        <w:tc>
          <w:tcPr>
            <w:tcW w:w="1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0.67</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-1617345</wp:posOffset>
            </wp:positionV>
            <wp:extent cx="939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-1600835</wp:posOffset>
            </wp:positionV>
            <wp:extent cx="939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-1617345</wp:posOffset>
            </wp:positionV>
            <wp:extent cx="857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-1600835</wp:posOffset>
            </wp:positionV>
            <wp:extent cx="8572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-1617345</wp:posOffset>
            </wp:positionV>
            <wp:extent cx="857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-1600835</wp:posOffset>
            </wp:positionV>
            <wp:extent cx="8572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-1155065</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-1155065</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-1155065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-701675</wp:posOffset>
            </wp:positionV>
            <wp:extent cx="939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-701675</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-701675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-24765</wp:posOffset>
            </wp:positionV>
            <wp:extent cx="939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-7620</wp:posOffset>
            </wp:positionV>
            <wp:extent cx="939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-24765</wp:posOffset>
            </wp:positionV>
            <wp:extent cx="8572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-7620</wp:posOffset>
            </wp:positionV>
            <wp:extent cx="857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-24765</wp:posOffset>
            </wp:positionV>
            <wp:extent cx="857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-7620</wp:posOffset>
            </wp:positionV>
            <wp:extent cx="857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Business Combinations</w:t>
      </w:r>
    </w:p>
    <w:p>
      <w:pPr>
        <w:spacing w:after="0" w:line="121" w:lineRule="exact"/>
        <w:rPr>
          <w:sz w:val="20"/>
          <w:szCs w:val="20"/>
          <w:color w:val="auto"/>
        </w:rPr>
      </w:pPr>
    </w:p>
    <w:p>
      <w:pPr>
        <w:ind w:right="200" w:firstLine="494"/>
        <w:spacing w:after="0" w:line="260" w:lineRule="auto"/>
        <w:rPr>
          <w:sz w:val="20"/>
          <w:szCs w:val="20"/>
          <w:color w:val="auto"/>
        </w:rPr>
      </w:pPr>
      <w:r>
        <w:rPr>
          <w:rFonts w:ascii="Times New Roman" w:cs="Times New Roman" w:eastAsia="Times New Roman" w:hAnsi="Times New Roman"/>
          <w:sz w:val="18"/>
          <w:szCs w:val="18"/>
          <w:color w:val="auto"/>
        </w:rPr>
        <w:t>During the six months ended June 30, 2024, Brown &amp; Brown acquired all of the stock of five insurance intermediaries, purchased assets and assumed certain liabilities of eight insurance intermediaries, and purchased five books of business (customer accounts) for a total of 18 acquisitions. Additionally, adjustments were recorded to the purchase price allocation of certain prior acquisitions completed within the last 12 months as permitted by Accounting Standards Codification Topic 805 — Business Combinations (“ASC 805”).</w:t>
      </w:r>
    </w:p>
    <w:p>
      <w:pPr>
        <w:spacing w:after="0" w:line="74" w:lineRule="exact"/>
        <w:rPr>
          <w:sz w:val="20"/>
          <w:szCs w:val="20"/>
          <w:color w:val="auto"/>
        </w:rPr>
      </w:pPr>
    </w:p>
    <w:p>
      <w:pPr>
        <w:ind w:right="120" w:firstLine="494"/>
        <w:spacing w:after="0" w:line="260" w:lineRule="auto"/>
        <w:rPr>
          <w:sz w:val="20"/>
          <w:szCs w:val="20"/>
          <w:color w:val="auto"/>
        </w:rPr>
      </w:pPr>
      <w:r>
        <w:rPr>
          <w:rFonts w:ascii="Times New Roman" w:cs="Times New Roman" w:eastAsia="Times New Roman" w:hAnsi="Times New Roman"/>
          <w:sz w:val="18"/>
          <w:szCs w:val="18"/>
          <w:color w:val="auto"/>
        </w:rPr>
        <w:t>The recorded purchase price for all acquisitions includes an estimation of the fair value of liabilities associated with any potential earn-out provisions. Subsequent changes in the fair value of earn-out obligations are recorded in the Condensed Consolidated Statements of Income when incurred. The fair value of earn-out obligations is based on the present value of the expected future payments to be made to the sellers of the acquired businesses in accordance with the provisions outlined in the respective purchase agreements.</w:t>
      </w:r>
    </w:p>
    <w:p>
      <w:pPr>
        <w:spacing w:after="0" w:line="74" w:lineRule="exact"/>
        <w:rPr>
          <w:sz w:val="20"/>
          <w:szCs w:val="20"/>
          <w:color w:val="auto"/>
        </w:rPr>
      </w:pPr>
    </w:p>
    <w:p>
      <w:pPr>
        <w:ind w:right="80" w:firstLine="494"/>
        <w:spacing w:after="0" w:line="260" w:lineRule="auto"/>
        <w:rPr>
          <w:sz w:val="20"/>
          <w:szCs w:val="20"/>
          <w:color w:val="auto"/>
        </w:rPr>
      </w:pPr>
      <w:r>
        <w:rPr>
          <w:rFonts w:ascii="Times New Roman" w:cs="Times New Roman" w:eastAsia="Times New Roman" w:hAnsi="Times New Roman"/>
          <w:sz w:val="18"/>
          <w:szCs w:val="18"/>
          <w:color w:val="auto"/>
        </w:rPr>
        <w:t>Based on the acquisition date and the complexity of the underlying valuation work, certain amounts included in the Company’s Condensed Consolidated Financial Statements may be provisional and thus subject to further adjustments within the permitted measurement period, as defined in ASC 805 including balances related to the acquisition of Kentro Capital Limited as of October 1, 2023, the acquisition date, primarily for intangible assets, goodwill, customer contract related balances and tax related balances.</w:t>
      </w:r>
    </w:p>
    <w:p>
      <w:pPr>
        <w:spacing w:after="0" w:line="74" w:lineRule="exact"/>
        <w:rPr>
          <w:sz w:val="20"/>
          <w:szCs w:val="20"/>
          <w:color w:val="auto"/>
        </w:rPr>
      </w:pPr>
    </w:p>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For the six months ended June 30, 2024, adjustments were made within the permitted measurement period that included an increase to fiduciary assets and fiduciary liabilities of $20 million, a decrease to purchased customer accounts of $2 million, an increase to non-controlling interest of $6 million and an increase in estimated deferred consideration of $5 million for a net increase in goodwill of $13 million. These measurement period adjustments have been reflected as current period adjustments in the six months ended June 30, 2024 in accordance with the guidance in ASU 2015-16 “Business Combinations.” The measurement period adjustments had no effect on earnings or cash in the current period.</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Certain disclosures have not been presented as the effect of the acquisitions were not material to the Company's financial results</w:t>
      </w:r>
      <w:r>
        <w:rPr>
          <w:rFonts w:ascii="Calibri" w:cs="Calibri" w:eastAsia="Calibri" w:hAnsi="Calibri"/>
          <w:sz w:val="19"/>
          <w:szCs w:val="19"/>
          <w:color w:val="auto"/>
        </w:rPr>
        <w: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4" w:name="page15"/>
    <w:bookmarkEnd w:id="14"/>
    <w:p>
      <w:pPr>
        <w:ind w:right="60" w:firstLine="494"/>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estimated fair values of the aggregate assets and liabilities acquired through the six months ended June 30, 2024 as of the date of each acquisition and adjustments made during the measurement period of the prior year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7056120</wp:posOffset>
            </wp:positionH>
            <wp:positionV relativeFrom="paragraph">
              <wp:posOffset>119380</wp:posOffset>
            </wp:positionV>
            <wp:extent cx="93980" cy="15367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3980" cy="153670"/>
                    </a:xfrm>
                    <a:prstGeom prst="rect">
                      <a:avLst/>
                    </a:prstGeom>
                    <a:noFill/>
                  </pic:spPr>
                </pic:pic>
              </a:graphicData>
            </a:graphic>
          </wp:anchor>
        </w:drawing>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20" w:type="dxa"/>
            <w:vAlign w:val="bottom"/>
            <w:tcBorders>
              <w:top w:val="single" w:sz="8" w:color="auto"/>
              <w:bottom w:val="single" w:sz="8" w:color="auto"/>
            </w:tcBorders>
          </w:tcPr>
          <w:p>
            <w:pPr>
              <w:spacing w:after="0"/>
              <w:rPr>
                <w:sz w:val="16"/>
                <w:szCs w:val="16"/>
                <w:color w:val="auto"/>
              </w:rPr>
            </w:pPr>
          </w:p>
        </w:tc>
        <w:tc>
          <w:tcPr>
            <w:tcW w:w="2500" w:type="dxa"/>
            <w:vAlign w:val="bottom"/>
            <w:tcBorders>
              <w:top w:val="single" w:sz="8" w:color="auto"/>
              <w:bottom w:val="single" w:sz="8" w:color="auto"/>
            </w:tcBorders>
          </w:tcPr>
          <w:p>
            <w:pPr>
              <w:jc w:val="right"/>
              <w:ind w:right="1271"/>
              <w:spacing w:after="0" w:line="193" w:lineRule="exact"/>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6"/>
                <w:szCs w:val="16"/>
                <w:color w:val="auto"/>
              </w:rPr>
            </w:pPr>
          </w:p>
        </w:tc>
      </w:tr>
      <w:tr>
        <w:trPr>
          <w:trHeight w:val="236"/>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w:t>
            </w:r>
          </w:p>
        </w:tc>
        <w:tc>
          <w:tcPr>
            <w:tcW w:w="720" w:type="dxa"/>
            <w:vAlign w:val="bottom"/>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FF0FC"/>
          </w:tcPr>
          <w:p>
            <w:pPr>
              <w:spacing w:after="0"/>
              <w:rPr>
                <w:sz w:val="20"/>
                <w:szCs w:val="20"/>
                <w:color w:val="auto"/>
              </w:rPr>
            </w:pPr>
          </w:p>
        </w:tc>
      </w:tr>
      <w:tr>
        <w:trPr>
          <w:trHeight w:val="238"/>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payable</w:t>
            </w:r>
          </w:p>
        </w:tc>
        <w:tc>
          <w:tcPr>
            <w:tcW w:w="72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r>
      <w:tr>
        <w:trPr>
          <w:trHeight w:val="247"/>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Recorded earn-out payable</w:t>
            </w:r>
          </w:p>
        </w:tc>
        <w:tc>
          <w:tcPr>
            <w:tcW w:w="720" w:type="dxa"/>
            <w:vAlign w:val="bottom"/>
            <w:tcBorders>
              <w:bottom w:val="single" w:sz="8" w:color="auto"/>
            </w:tcBorders>
            <w:shd w:val="clear" w:color="auto" w:fill="CFF0FC"/>
          </w:tcPr>
          <w:p>
            <w:pPr>
              <w:spacing w:after="0"/>
              <w:rPr>
                <w:sz w:val="21"/>
                <w:szCs w:val="21"/>
                <w:color w:val="auto"/>
              </w:rPr>
            </w:pPr>
          </w:p>
        </w:tc>
        <w:tc>
          <w:tcPr>
            <w:tcW w:w="2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consideration</w:t>
            </w:r>
          </w:p>
        </w:tc>
        <w:tc>
          <w:tcPr>
            <w:tcW w:w="7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r>
      <w:tr>
        <w:trPr>
          <w:trHeight w:val="276"/>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Maximum potential earn-out payable</w:t>
            </w:r>
          </w:p>
        </w:tc>
        <w:tc>
          <w:tcPr>
            <w:tcW w:w="720" w:type="dxa"/>
            <w:vAlign w:val="bottom"/>
            <w:tcBorders>
              <w:bottom w:val="single" w:sz="8" w:color="auto"/>
            </w:tcBorders>
            <w:shd w:val="clear" w:color="auto" w:fill="CFF0FC"/>
          </w:tcPr>
          <w:p>
            <w:pPr>
              <w:spacing w:after="0"/>
              <w:rPr>
                <w:sz w:val="24"/>
                <w:szCs w:val="24"/>
                <w:color w:val="auto"/>
              </w:rPr>
            </w:pPr>
          </w:p>
        </w:tc>
        <w:tc>
          <w:tcPr>
            <w:tcW w:w="2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tc>
        <w:tc>
          <w:tcPr>
            <w:tcW w:w="7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equivalents</w:t>
            </w:r>
          </w:p>
        </w:tc>
        <w:tc>
          <w:tcPr>
            <w:tcW w:w="720" w:type="dxa"/>
            <w:vAlign w:val="bottom"/>
            <w:shd w:val="clear" w:color="auto" w:fill="CFF0FC"/>
          </w:tcPr>
          <w:p>
            <w:pPr>
              <w:spacing w:after="0"/>
              <w:rPr>
                <w:sz w:val="21"/>
                <w:szCs w:val="21"/>
                <w:color w:val="auto"/>
              </w:rPr>
            </w:pPr>
          </w:p>
        </w:tc>
        <w:tc>
          <w:tcPr>
            <w:tcW w:w="2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21"/>
                <w:szCs w:val="21"/>
                <w:color w:val="auto"/>
              </w:rPr>
            </w:pP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Fiduciary cash</w:t>
            </w:r>
          </w:p>
        </w:tc>
        <w:tc>
          <w:tcPr>
            <w:tcW w:w="72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47"/>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720" w:type="dxa"/>
            <w:vAlign w:val="bottom"/>
            <w:shd w:val="clear" w:color="auto" w:fill="CFF0FC"/>
          </w:tcPr>
          <w:p>
            <w:pPr>
              <w:spacing w:after="0"/>
              <w:rPr>
                <w:sz w:val="21"/>
                <w:szCs w:val="21"/>
                <w:color w:val="auto"/>
              </w:rPr>
            </w:pPr>
          </w:p>
        </w:tc>
        <w:tc>
          <w:tcPr>
            <w:tcW w:w="2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720" w:type="dxa"/>
            <w:vAlign w:val="bottom"/>
          </w:tcPr>
          <w:p>
            <w:pPr>
              <w:spacing w:after="0"/>
              <w:rPr>
                <w:sz w:val="20"/>
                <w:szCs w:val="20"/>
                <w:color w:val="auto"/>
              </w:rPr>
            </w:pPr>
          </w:p>
        </w:tc>
        <w:tc>
          <w:tcPr>
            <w:tcW w:w="2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r>
      <w:tr>
        <w:trPr>
          <w:trHeight w:val="243"/>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Purchased customer accounts and other</w:t>
            </w:r>
          </w:p>
        </w:tc>
        <w:tc>
          <w:tcPr>
            <w:tcW w:w="720" w:type="dxa"/>
            <w:vAlign w:val="bottom"/>
            <w:tcBorders>
              <w:bottom w:val="single" w:sz="8" w:color="auto"/>
            </w:tcBorders>
            <w:shd w:val="clear" w:color="auto" w:fill="CFF0FC"/>
          </w:tcPr>
          <w:p>
            <w:pPr>
              <w:spacing w:after="0"/>
              <w:rPr>
                <w:sz w:val="21"/>
                <w:szCs w:val="21"/>
                <w:color w:val="auto"/>
              </w:rPr>
            </w:pPr>
          </w:p>
        </w:tc>
        <w:tc>
          <w:tcPr>
            <w:tcW w:w="2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FF0FC"/>
          </w:tcPr>
          <w:p>
            <w:pPr>
              <w:spacing w:after="0"/>
              <w:rPr>
                <w:sz w:val="21"/>
                <w:szCs w:val="21"/>
                <w:color w:val="auto"/>
              </w:rPr>
            </w:pPr>
          </w:p>
        </w:tc>
      </w:tr>
      <w:tr>
        <w:trPr>
          <w:trHeight w:val="24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7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0"/>
                <w:szCs w:val="20"/>
                <w:color w:val="auto"/>
              </w:rPr>
            </w:pPr>
          </w:p>
        </w:tc>
      </w:tr>
      <w:tr>
        <w:trPr>
          <w:trHeight w:val="236"/>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liabilities</w:t>
            </w:r>
          </w:p>
        </w:tc>
        <w:tc>
          <w:tcPr>
            <w:tcW w:w="720" w:type="dxa"/>
            <w:vAlign w:val="bottom"/>
            <w:shd w:val="clear" w:color="auto" w:fill="CFF0FC"/>
          </w:tcPr>
          <w:p>
            <w:pPr>
              <w:spacing w:after="0"/>
              <w:rPr>
                <w:sz w:val="20"/>
                <w:szCs w:val="20"/>
                <w:color w:val="auto"/>
              </w:rPr>
            </w:pPr>
          </w:p>
        </w:tc>
        <w:tc>
          <w:tcPr>
            <w:tcW w:w="2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720" w:type="dxa"/>
            <w:vAlign w:val="bottom"/>
          </w:tcPr>
          <w:p>
            <w:pPr>
              <w:spacing w:after="0"/>
              <w:rPr>
                <w:sz w:val="20"/>
                <w:szCs w:val="20"/>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40"/>
        </w:trPr>
        <w:tc>
          <w:tcPr>
            <w:tcW w:w="792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720" w:type="dxa"/>
            <w:vAlign w:val="bottom"/>
            <w:tcBorders>
              <w:top w:val="single" w:sz="8" w:color="auto"/>
              <w:bottom w:val="single" w:sz="8" w:color="auto"/>
            </w:tcBorders>
            <w:shd w:val="clear" w:color="auto" w:fill="CFF0FC"/>
          </w:tcPr>
          <w:p>
            <w:pPr>
              <w:spacing w:after="0"/>
              <w:rPr>
                <w:sz w:val="20"/>
                <w:szCs w:val="20"/>
                <w:color w:val="auto"/>
              </w:rPr>
            </w:pPr>
          </w:p>
        </w:tc>
        <w:tc>
          <w:tcPr>
            <w:tcW w:w="2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3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non-controlling interest</w:t>
            </w:r>
          </w:p>
        </w:tc>
        <w:tc>
          <w:tcPr>
            <w:tcW w:w="720" w:type="dxa"/>
            <w:vAlign w:val="bottom"/>
          </w:tcPr>
          <w:p>
            <w:pPr>
              <w:spacing w:after="0"/>
              <w:rPr>
                <w:sz w:val="20"/>
                <w:szCs w:val="20"/>
                <w:color w:val="auto"/>
              </w:rPr>
            </w:pPr>
          </w:p>
        </w:tc>
        <w:tc>
          <w:tcPr>
            <w:tcW w:w="2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76"/>
        </w:trPr>
        <w:tc>
          <w:tcPr>
            <w:tcW w:w="7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assets acquired</w:t>
            </w:r>
          </w:p>
        </w:tc>
        <w:tc>
          <w:tcPr>
            <w:tcW w:w="720" w:type="dxa"/>
            <w:vAlign w:val="bottom"/>
            <w:tcBorders>
              <w:top w:val="single" w:sz="8" w:color="auto"/>
              <w:bottom w:val="single" w:sz="8" w:color="auto"/>
            </w:tcBorders>
            <w:shd w:val="clear" w:color="auto" w:fill="CFF0FC"/>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-2268220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-1943100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-1925955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-1005205</wp:posOffset>
            </wp:positionV>
            <wp:extent cx="93980" cy="1968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-525780</wp:posOffset>
            </wp:positionV>
            <wp:extent cx="93980" cy="1968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left="160" w:right="540" w:hanging="3"/>
        <w:spacing w:after="0" w:line="281" w:lineRule="auto"/>
        <w:tabs>
          <w:tab w:leader="none" w:pos="5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column represents a summarization of current year acquisitions with total consideration of less than $50 million per acquisition and adjustments from prior year acquisitions that were made within the permitted measurement period.</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 average useful life of purchased customer accounts is 15 years.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 Earn-Out Payables</w:t>
      </w:r>
    </w:p>
    <w:p>
      <w:pPr>
        <w:spacing w:after="0" w:line="121" w:lineRule="exact"/>
        <w:rPr>
          <w:sz w:val="20"/>
          <w:szCs w:val="20"/>
          <w:color w:val="auto"/>
        </w:rPr>
      </w:pPr>
    </w:p>
    <w:p>
      <w:pPr>
        <w:ind w:right="120" w:firstLine="494"/>
        <w:spacing w:after="0" w:line="265" w:lineRule="auto"/>
        <w:rPr>
          <w:sz w:val="20"/>
          <w:szCs w:val="20"/>
          <w:color w:val="auto"/>
        </w:rPr>
      </w:pPr>
      <w:r>
        <w:rPr>
          <w:rFonts w:ascii="Times New Roman" w:cs="Times New Roman" w:eastAsia="Times New Roman" w:hAnsi="Times New Roman"/>
          <w:sz w:val="18"/>
          <w:szCs w:val="18"/>
          <w:color w:val="auto"/>
        </w:rPr>
        <w:t xml:space="preserve">As of June 30, 2024 and 2023, the fair values of the estimated acquisition earn-out payables were re-evaluated and measured at fair value on a recurring basis using unobservable inputs (Level 3) as defined in ASC 820 -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resulting additions, payments, and net changes, as well as the interest expense accretion on the estimated acquisition earn-out payables were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9"/>
        </w:trPr>
        <w:tc>
          <w:tcPr>
            <w:tcW w:w="5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6"/>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the beginning of the period</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203</w:t>
            </w: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254</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249</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8"/>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Additions to estimated acquisition earn-out payables</w:t>
            </w:r>
          </w:p>
        </w:tc>
        <w:tc>
          <w:tcPr>
            <w:tcW w:w="240" w:type="dxa"/>
            <w:vAlign w:val="bottom"/>
          </w:tcPr>
          <w:p>
            <w:pPr>
              <w:spacing w:after="0"/>
              <w:rPr>
                <w:sz w:val="20"/>
                <w:szCs w:val="20"/>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55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Payments for estimated acquisition earn-out payables</w:t>
            </w: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6"/>
        </w:trPr>
        <w:tc>
          <w:tcPr>
            <w:tcW w:w="5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Pr>
          <w:p>
            <w:pPr>
              <w:spacing w:after="0"/>
              <w:rPr>
                <w:sz w:val="20"/>
                <w:szCs w:val="20"/>
                <w:color w:val="auto"/>
              </w:rPr>
            </w:pP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228</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172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7"/>
        </w:trPr>
        <w:tc>
          <w:tcPr>
            <w:tcW w:w="5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change in earnings from estimated acquisition earn-out payables:</w:t>
            </w:r>
          </w:p>
        </w:tc>
        <w:tc>
          <w:tcPr>
            <w:tcW w:w="2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 in fair value on estimated acquisition earn-out payables</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r>
        <w:trPr>
          <w:trHeight w:val="243"/>
        </w:trPr>
        <w:tc>
          <w:tcPr>
            <w:tcW w:w="55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expense accretion</w:t>
            </w: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55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change in earnings from estimated acquisition</w:t>
            </w:r>
          </w:p>
        </w:tc>
        <w:tc>
          <w:tcPr>
            <w:tcW w:w="240" w:type="dxa"/>
            <w:vAlign w:val="bottom"/>
          </w:tcPr>
          <w:p>
            <w:pPr>
              <w:spacing w:after="0"/>
              <w:rPr>
                <w:sz w:val="18"/>
                <w:szCs w:val="18"/>
                <w:color w:val="auto"/>
              </w:rPr>
            </w:pPr>
          </w:p>
        </w:tc>
        <w:tc>
          <w:tcPr>
            <w:tcW w:w="1040" w:type="dxa"/>
            <w:vAlign w:val="bottom"/>
            <w:vMerge w:val="restart"/>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5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earn-out payables</w:t>
            </w: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 during the year</w:t>
            </w:r>
          </w:p>
        </w:tc>
        <w:tc>
          <w:tcPr>
            <w:tcW w:w="24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0"/>
        </w:trPr>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June 30,</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169</w:t>
            </w: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232</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169</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232</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-1266825</wp:posOffset>
            </wp:positionV>
            <wp:extent cx="1028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-1266825</wp:posOffset>
            </wp:positionV>
            <wp:extent cx="939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-1266825</wp:posOffset>
            </wp:positionV>
            <wp:extent cx="939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-641350</wp:posOffset>
            </wp:positionV>
            <wp:extent cx="1028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-641350</wp:posOffset>
            </wp:positionV>
            <wp:extent cx="939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-641350</wp:posOffset>
            </wp:positionV>
            <wp:extent cx="939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4303395</wp:posOffset>
            </wp:positionH>
            <wp:positionV relativeFrom="paragraph">
              <wp:posOffset>-187960</wp:posOffset>
            </wp:positionV>
            <wp:extent cx="10287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-187960</wp:posOffset>
            </wp:positionV>
            <wp:extent cx="939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6161405</wp:posOffset>
            </wp:positionH>
            <wp:positionV relativeFrom="paragraph">
              <wp:posOffset>-187960</wp:posOffset>
            </wp:positionV>
            <wp:extent cx="939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4" w:lineRule="exact"/>
        <w:rPr>
          <w:sz w:val="20"/>
          <w:szCs w:val="20"/>
          <w:color w:val="auto"/>
        </w:rPr>
      </w:pPr>
    </w:p>
    <w:p>
      <w:pPr>
        <w:ind w:right="20" w:firstLine="494"/>
        <w:spacing w:after="0" w:line="258" w:lineRule="auto"/>
        <w:rPr>
          <w:sz w:val="20"/>
          <w:szCs w:val="20"/>
          <w:color w:val="auto"/>
        </w:rPr>
      </w:pPr>
      <w:r>
        <w:rPr>
          <w:rFonts w:ascii="Times New Roman" w:cs="Times New Roman" w:eastAsia="Times New Roman" w:hAnsi="Times New Roman"/>
          <w:sz w:val="18"/>
          <w:szCs w:val="18"/>
          <w:color w:val="auto"/>
        </w:rPr>
        <w:t>Of the $169 million of estimated acquisition earn-out payables as of June 30, 2024, $93 million was recorded as accounts payable and $76 million was recorded as other non-current liabilities. As of June 30, 2024, the maximum future acquisition contingency payments was $485 million. Six of the estimated acquisition earn-out payables assumed in connection with the acquisitions of GRP (Jersey) Holdco Limited and Kentro Capital Limited included provisions with no maximum potential earn-out amount. The amount recorded for these acquisitions as of June 30, 2024 is $4 million. The Company deems a significant increase to this amount to be unlikely.</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NOTE 6 Goodwill</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changes in the carrying value of goodwill by reportable segment for the six months ended June 30, 2024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 xml:space="preserve">Retail </w:t>
            </w:r>
            <w:r>
              <w:rPr>
                <w:rFonts w:ascii="Times New Roman" w:cs="Times New Roman" w:eastAsia="Times New Roman" w:hAnsi="Times New Roman"/>
                <w:sz w:val="19"/>
                <w:szCs w:val="19"/>
                <w:b w:val="1"/>
                <w:bCs w:val="1"/>
                <w:color w:val="auto"/>
                <w:vertAlign w:val="superscript"/>
              </w:rPr>
              <w:t>(2)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1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6"/>
        </w:trPr>
        <w:tc>
          <w:tcPr>
            <w:tcW w:w="5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2023</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4,870</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1,853</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618</w:t>
            </w:r>
          </w:p>
        </w:tc>
        <w:tc>
          <w:tcPr>
            <w:tcW w:w="4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7,341</w:t>
            </w:r>
          </w:p>
        </w:tc>
        <w:tc>
          <w:tcPr>
            <w:tcW w:w="0" w:type="dxa"/>
            <w:vAlign w:val="bottom"/>
          </w:tcPr>
          <w:p>
            <w:pPr>
              <w:spacing w:after="0"/>
              <w:rPr>
                <w:sz w:val="1"/>
                <w:szCs w:val="1"/>
                <w:color w:val="auto"/>
              </w:rPr>
            </w:pPr>
          </w:p>
        </w:tc>
      </w:tr>
      <w:tr>
        <w:trPr>
          <w:trHeight w:val="23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of acquired businesses</w:t>
            </w:r>
          </w:p>
        </w:tc>
        <w:tc>
          <w:tcPr>
            <w:tcW w:w="240" w:type="dxa"/>
            <w:vAlign w:val="bottom"/>
          </w:tcPr>
          <w:p>
            <w:pPr>
              <w:spacing w:after="0"/>
              <w:rPr>
                <w:sz w:val="20"/>
                <w:szCs w:val="20"/>
                <w:color w:val="auto"/>
              </w:rPr>
            </w:pPr>
          </w:p>
        </w:tc>
        <w:tc>
          <w:tcPr>
            <w:tcW w:w="11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94</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47"/>
        </w:trPr>
        <w:tc>
          <w:tcPr>
            <w:tcW w:w="524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Goodwill adjustment during measurement period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8"/>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 during the year</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0" w:type="dxa"/>
            <w:vAlign w:val="bottom"/>
          </w:tcPr>
          <w:p>
            <w:pPr>
              <w:spacing w:after="0"/>
              <w:rPr>
                <w:sz w:val="1"/>
                <w:szCs w:val="1"/>
                <w:color w:val="auto"/>
              </w:rPr>
            </w:pPr>
          </w:p>
        </w:tc>
      </w:tr>
      <w:tr>
        <w:trPr>
          <w:trHeight w:val="280"/>
        </w:trPr>
        <w:tc>
          <w:tcPr>
            <w:tcW w:w="5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as of June 30, 2024</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4,955</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1,851</w:t>
            </w:r>
          </w:p>
        </w:tc>
        <w:tc>
          <w:tcPr>
            <w:tcW w:w="1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7,431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4217670</wp:posOffset>
            </wp:positionH>
            <wp:positionV relativeFrom="paragraph">
              <wp:posOffset>-24765</wp:posOffset>
            </wp:positionV>
            <wp:extent cx="10287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4217670</wp:posOffset>
            </wp:positionH>
            <wp:positionV relativeFrom="paragraph">
              <wp:posOffset>-7620</wp:posOffset>
            </wp:positionV>
            <wp:extent cx="1028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-24765</wp:posOffset>
            </wp:positionV>
            <wp:extent cx="10287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1028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939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939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204" w:lineRule="exact"/>
        <w:rPr>
          <w:sz w:val="20"/>
          <w:szCs w:val="20"/>
          <w:color w:val="auto"/>
        </w:rPr>
      </w:pPr>
    </w:p>
    <w:p>
      <w:pPr>
        <w:ind w:left="380" w:right="180" w:hanging="372"/>
        <w:spacing w:after="0" w:line="281"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Provisional estimates of fair value of acquired assets and liabilities are established at the time of each acquisition and are subsequently reviewed and finalized within the first year of operations subsequent to the acquisition date to determine the necessity for adjustments to goodwill.</w:t>
      </w:r>
    </w:p>
    <w:p>
      <w:pPr>
        <w:spacing w:after="0" w:line="68" w:lineRule="exact"/>
        <w:rPr>
          <w:rFonts w:ascii="Times New Roman" w:cs="Times New Roman" w:eastAsia="Times New Roman" w:hAnsi="Times New Roman"/>
          <w:sz w:val="18"/>
          <w:szCs w:val="18"/>
          <w:color w:val="auto"/>
        </w:rPr>
      </w:pPr>
    </w:p>
    <w:p>
      <w:pPr>
        <w:ind w:left="380" w:right="320" w:hanging="372"/>
        <w:spacing w:after="0" w:line="281"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December 31, 2023 Retail balance includes $127 million of goodwill reclassified from the former Services segment as a result of our segment realignment.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Amortizable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Amortizable intangible assets consisted of the following:</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right"/>
              <w:ind w:right="434"/>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gridSpan w:val="4"/>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202"/>
        </w:trPr>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jc w:val="center"/>
              <w:ind w:right="194"/>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140" w:type="dxa"/>
            <w:vAlign w:val="bottom"/>
          </w:tcPr>
          <w:p>
            <w:pPr>
              <w:spacing w:after="0"/>
              <w:rPr>
                <w:sz w:val="17"/>
                <w:szCs w:val="17"/>
                <w:color w:val="auto"/>
              </w:rPr>
            </w:pPr>
          </w:p>
        </w:tc>
        <w:tc>
          <w:tcPr>
            <w:tcW w:w="9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Net</w:t>
            </w:r>
          </w:p>
        </w:tc>
        <w:tc>
          <w:tcPr>
            <w:tcW w:w="12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175"/>
        </w:trPr>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135"/>
              <w:spacing w:after="0" w:line="17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5"/>
                <w:szCs w:val="15"/>
                <w:color w:val="auto"/>
              </w:rPr>
            </w:pPr>
          </w:p>
        </w:tc>
        <w:tc>
          <w:tcPr>
            <w:tcW w:w="940" w:type="dxa"/>
            <w:vAlign w:val="bottom"/>
            <w:gridSpan w:val="2"/>
          </w:tcPr>
          <w:p>
            <w:pPr>
              <w:ind w:left="60"/>
              <w:spacing w:after="0" w:line="175" w:lineRule="exact"/>
              <w:rPr>
                <w:sz w:val="20"/>
                <w:szCs w:val="20"/>
                <w:color w:val="auto"/>
              </w:rPr>
            </w:pPr>
            <w:r>
              <w:rPr>
                <w:rFonts w:ascii="Times New Roman" w:cs="Times New Roman" w:eastAsia="Times New Roman" w:hAnsi="Times New Roman"/>
                <w:sz w:val="16"/>
                <w:szCs w:val="16"/>
                <w:b w:val="1"/>
                <w:bCs w:val="1"/>
                <w:color w:val="auto"/>
              </w:rPr>
              <w:t>amortizati</w:t>
            </w:r>
          </w:p>
        </w:tc>
        <w:tc>
          <w:tcPr>
            <w:tcW w:w="120" w:type="dxa"/>
            <w:vAlign w:val="bottom"/>
          </w:tcPr>
          <w:p>
            <w:pPr>
              <w:spacing w:after="0"/>
              <w:rPr>
                <w:sz w:val="15"/>
                <w:szCs w:val="15"/>
                <w:color w:val="auto"/>
              </w:rPr>
            </w:pPr>
          </w:p>
        </w:tc>
        <w:tc>
          <w:tcPr>
            <w:tcW w:w="880" w:type="dxa"/>
            <w:vAlign w:val="bottom"/>
            <w:gridSpan w:val="2"/>
          </w:tcPr>
          <w:p>
            <w:pPr>
              <w:jc w:val="center"/>
              <w:ind w:right="34"/>
              <w:spacing w:after="0" w:line="17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40" w:type="dxa"/>
            <w:vAlign w:val="bottom"/>
          </w:tcPr>
          <w:p>
            <w:pPr>
              <w:spacing w:after="0"/>
              <w:rPr>
                <w:sz w:val="15"/>
                <w:szCs w:val="15"/>
                <w:color w:val="auto"/>
              </w:rPr>
            </w:pPr>
          </w:p>
        </w:tc>
        <w:tc>
          <w:tcPr>
            <w:tcW w:w="980" w:type="dxa"/>
            <w:vAlign w:val="bottom"/>
          </w:tcPr>
          <w:p>
            <w:pPr>
              <w:jc w:val="center"/>
              <w:ind w:right="39"/>
              <w:spacing w:after="0" w:line="175" w:lineRule="exact"/>
              <w:rPr>
                <w:sz w:val="20"/>
                <w:szCs w:val="20"/>
                <w:color w:val="auto"/>
              </w:rPr>
            </w:pPr>
            <w:r>
              <w:rPr>
                <w:rFonts w:ascii="Times New Roman" w:cs="Times New Roman" w:eastAsia="Times New Roman" w:hAnsi="Times New Roman"/>
                <w:sz w:val="16"/>
                <w:szCs w:val="16"/>
                <w:b w:val="1"/>
                <w:bCs w:val="1"/>
                <w:color w:val="auto"/>
              </w:rPr>
              <w:t>life</w:t>
            </w:r>
          </w:p>
        </w:tc>
        <w:tc>
          <w:tcPr>
            <w:tcW w:w="100" w:type="dxa"/>
            <w:vAlign w:val="bottom"/>
          </w:tcPr>
          <w:p>
            <w:pPr>
              <w:spacing w:after="0"/>
              <w:rPr>
                <w:sz w:val="15"/>
                <w:szCs w:val="15"/>
                <w:color w:val="auto"/>
              </w:rPr>
            </w:pPr>
          </w:p>
        </w:tc>
        <w:tc>
          <w:tcPr>
            <w:tcW w:w="900" w:type="dxa"/>
            <w:vAlign w:val="bottom"/>
            <w:gridSpan w:val="2"/>
          </w:tcPr>
          <w:p>
            <w:pPr>
              <w:jc w:val="center"/>
              <w:ind w:right="14"/>
              <w:spacing w:after="0" w:line="175" w:lineRule="exact"/>
              <w:rPr>
                <w:sz w:val="20"/>
                <w:szCs w:val="20"/>
                <w:color w:val="auto"/>
              </w:rPr>
            </w:pPr>
            <w:r>
              <w:rPr>
                <w:rFonts w:ascii="Times New Roman" w:cs="Times New Roman" w:eastAsia="Times New Roman" w:hAnsi="Times New Roman"/>
                <w:sz w:val="16"/>
                <w:szCs w:val="16"/>
                <w:b w:val="1"/>
                <w:bCs w:val="1"/>
                <w:color w:val="auto"/>
              </w:rPr>
              <w:t>carrying</w:t>
            </w:r>
          </w:p>
        </w:tc>
        <w:tc>
          <w:tcPr>
            <w:tcW w:w="100" w:type="dxa"/>
            <w:vAlign w:val="bottom"/>
          </w:tcPr>
          <w:p>
            <w:pPr>
              <w:spacing w:after="0"/>
              <w:rPr>
                <w:sz w:val="15"/>
                <w:szCs w:val="15"/>
                <w:color w:val="auto"/>
              </w:rPr>
            </w:pPr>
          </w:p>
        </w:tc>
        <w:tc>
          <w:tcPr>
            <w:tcW w:w="900" w:type="dxa"/>
            <w:vAlign w:val="bottom"/>
            <w:gridSpan w:val="2"/>
          </w:tcPr>
          <w:p>
            <w:pPr>
              <w:ind w:left="40"/>
              <w:spacing w:after="0" w:line="175" w:lineRule="exact"/>
              <w:rPr>
                <w:sz w:val="20"/>
                <w:szCs w:val="20"/>
                <w:color w:val="auto"/>
              </w:rPr>
            </w:pPr>
            <w:r>
              <w:rPr>
                <w:rFonts w:ascii="Times New Roman" w:cs="Times New Roman" w:eastAsia="Times New Roman" w:hAnsi="Times New Roman"/>
                <w:sz w:val="16"/>
                <w:szCs w:val="16"/>
                <w:b w:val="1"/>
                <w:bCs w:val="1"/>
                <w:color w:val="auto"/>
              </w:rPr>
              <w:t>amortizati</w:t>
            </w:r>
          </w:p>
        </w:tc>
        <w:tc>
          <w:tcPr>
            <w:tcW w:w="100" w:type="dxa"/>
            <w:vAlign w:val="bottom"/>
          </w:tcPr>
          <w:p>
            <w:pPr>
              <w:spacing w:after="0"/>
              <w:rPr>
                <w:sz w:val="15"/>
                <w:szCs w:val="15"/>
                <w:color w:val="auto"/>
              </w:rPr>
            </w:pPr>
          </w:p>
        </w:tc>
        <w:tc>
          <w:tcPr>
            <w:tcW w:w="840" w:type="dxa"/>
            <w:vAlign w:val="bottom"/>
            <w:gridSpan w:val="2"/>
          </w:tcPr>
          <w:p>
            <w:pPr>
              <w:jc w:val="center"/>
              <w:ind w:right="14"/>
              <w:spacing w:after="0" w:line="175" w:lineRule="exact"/>
              <w:rPr>
                <w:sz w:val="20"/>
                <w:szCs w:val="20"/>
                <w:color w:val="auto"/>
              </w:rPr>
            </w:pPr>
            <w:r>
              <w:rPr>
                <w:rFonts w:ascii="Times New Roman" w:cs="Times New Roman" w:eastAsia="Times New Roman" w:hAnsi="Times New Roman"/>
                <w:sz w:val="16"/>
                <w:szCs w:val="16"/>
                <w:b w:val="1"/>
                <w:bCs w:val="1"/>
                <w:color w:val="auto"/>
                <w:w w:val="98"/>
              </w:rPr>
              <w:t>carrying</w:t>
            </w:r>
          </w:p>
        </w:tc>
        <w:tc>
          <w:tcPr>
            <w:tcW w:w="120" w:type="dxa"/>
            <w:vAlign w:val="bottom"/>
          </w:tcPr>
          <w:p>
            <w:pPr>
              <w:spacing w:after="0"/>
              <w:rPr>
                <w:sz w:val="15"/>
                <w:szCs w:val="15"/>
                <w:color w:val="auto"/>
              </w:rPr>
            </w:pPr>
          </w:p>
        </w:tc>
        <w:tc>
          <w:tcPr>
            <w:tcW w:w="940" w:type="dxa"/>
            <w:vAlign w:val="bottom"/>
          </w:tcPr>
          <w:p>
            <w:pPr>
              <w:jc w:val="center"/>
              <w:ind w:right="39"/>
              <w:spacing w:after="0" w:line="175" w:lineRule="exact"/>
              <w:rPr>
                <w:sz w:val="20"/>
                <w:szCs w:val="20"/>
                <w:color w:val="auto"/>
              </w:rPr>
            </w:pPr>
            <w:r>
              <w:rPr>
                <w:rFonts w:ascii="Times New Roman" w:cs="Times New Roman" w:eastAsia="Times New Roman" w:hAnsi="Times New Roman"/>
                <w:sz w:val="16"/>
                <w:szCs w:val="16"/>
                <w:b w:val="1"/>
                <w:bCs w:val="1"/>
                <w:color w:val="auto"/>
              </w:rPr>
              <w:t>life</w:t>
            </w:r>
          </w:p>
        </w:tc>
        <w:tc>
          <w:tcPr>
            <w:tcW w:w="0" w:type="dxa"/>
            <w:vAlign w:val="bottom"/>
          </w:tcPr>
          <w:p>
            <w:pPr>
              <w:spacing w:after="0"/>
              <w:rPr>
                <w:sz w:val="1"/>
                <w:szCs w:val="1"/>
                <w:color w:val="auto"/>
              </w:rPr>
            </w:pPr>
          </w:p>
        </w:tc>
      </w:tr>
      <w:tr>
        <w:trPr>
          <w:trHeight w:val="259"/>
        </w:trPr>
        <w:tc>
          <w:tcPr>
            <w:tcW w:w="31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on</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center"/>
              <w:ind w:right="194"/>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140" w:type="dxa"/>
            <w:vAlign w:val="bottom"/>
          </w:tcPr>
          <w:p>
            <w:pPr>
              <w:spacing w:after="0"/>
              <w:rPr>
                <w:sz w:val="22"/>
                <w:szCs w:val="22"/>
                <w:color w:val="auto"/>
              </w:rPr>
            </w:pPr>
          </w:p>
        </w:tc>
        <w:tc>
          <w:tcPr>
            <w:tcW w:w="9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4"/>
              </w:rPr>
              <w:t xml:space="preserve">(years) </w:t>
            </w:r>
            <w:r>
              <w:rPr>
                <w:rFonts w:ascii="Times New Roman" w:cs="Times New Roman" w:eastAsia="Times New Roman" w:hAnsi="Times New Roman"/>
                <w:sz w:val="21"/>
                <w:szCs w:val="21"/>
                <w:b w:val="1"/>
                <w:bCs w:val="1"/>
                <w:color w:val="auto"/>
                <w:w w:val="94"/>
                <w:vertAlign w:val="superscript"/>
              </w:rPr>
              <w:t>(1)</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center"/>
              <w:ind w:right="174"/>
              <w:spacing w:after="0"/>
              <w:rPr>
                <w:sz w:val="20"/>
                <w:szCs w:val="20"/>
                <w:color w:val="auto"/>
              </w:rPr>
            </w:pPr>
            <w:r>
              <w:rPr>
                <w:rFonts w:ascii="Times New Roman" w:cs="Times New Roman" w:eastAsia="Times New Roman" w:hAnsi="Times New Roman"/>
                <w:sz w:val="16"/>
                <w:szCs w:val="16"/>
                <w:b w:val="1"/>
                <w:bCs w:val="1"/>
                <w:color w:val="auto"/>
                <w:w w:val="98"/>
              </w:rPr>
              <w:t>value</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on</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20" w:type="dxa"/>
            <w:vAlign w:val="bottom"/>
          </w:tcPr>
          <w:p>
            <w:pPr>
              <w:spacing w:after="0"/>
              <w:rPr>
                <w:sz w:val="22"/>
                <w:szCs w:val="22"/>
                <w:color w:val="auto"/>
              </w:rPr>
            </w:pPr>
          </w:p>
        </w:tc>
        <w:tc>
          <w:tcPr>
            <w:tcW w:w="94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4"/>
              </w:rPr>
              <w:t xml:space="preserve">(years) </w:t>
            </w:r>
            <w:r>
              <w:rPr>
                <w:rFonts w:ascii="Times New Roman" w:cs="Times New Roman" w:eastAsia="Times New Roman" w:hAnsi="Times New Roman"/>
                <w:sz w:val="21"/>
                <w:szCs w:val="21"/>
                <w:b w:val="1"/>
                <w:bCs w:val="1"/>
                <w:color w:val="auto"/>
                <w:w w:val="94"/>
                <w:vertAlign w:val="superscript"/>
              </w:rPr>
              <w:t>(1)</w:t>
            </w:r>
          </w:p>
        </w:tc>
        <w:tc>
          <w:tcPr>
            <w:tcW w:w="0" w:type="dxa"/>
            <w:vAlign w:val="bottom"/>
          </w:tcPr>
          <w:p>
            <w:pPr>
              <w:spacing w:after="0"/>
              <w:rPr>
                <w:sz w:val="1"/>
                <w:szCs w:val="1"/>
                <w:color w:val="auto"/>
              </w:rPr>
            </w:pPr>
          </w:p>
        </w:tc>
      </w:tr>
      <w:tr>
        <w:trPr>
          <w:trHeight w:val="236"/>
        </w:trPr>
        <w:tc>
          <w:tcPr>
            <w:tcW w:w="3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Purchased customer accounts and other</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3,207</w:t>
            </w:r>
          </w:p>
        </w:tc>
        <w:tc>
          <w:tcPr>
            <w:tcW w:w="3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(1,636 )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1,571</w:t>
            </w:r>
          </w:p>
        </w:tc>
        <w:tc>
          <w:tcPr>
            <w:tcW w:w="11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3,138</w:t>
            </w:r>
          </w:p>
        </w:tc>
        <w:tc>
          <w:tcPr>
            <w:tcW w:w="2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(1,549 )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1,589</w:t>
            </w:r>
          </w:p>
        </w:tc>
        <w:tc>
          <w:tcPr>
            <w:tcW w:w="10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1"/>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vMerge w:val="restart"/>
          </w:tcPr>
          <w:p>
            <w:pPr>
              <w:jc w:val="right"/>
              <w:ind w:right="5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during the year</w:t>
            </w: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2"/>
        </w:trPr>
        <w:tc>
          <w:tcPr>
            <w:tcW w:w="31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3,200</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(1,635 )</w:t>
            </w:r>
          </w:p>
        </w:tc>
        <w:tc>
          <w:tcPr>
            <w:tcW w:w="12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1,565</w:t>
            </w:r>
          </w:p>
        </w:tc>
        <w:tc>
          <w:tcPr>
            <w:tcW w:w="140" w:type="dxa"/>
            <w:vAlign w:val="bottom"/>
            <w:tcBorders>
              <w:bottom w:val="single" w:sz="8" w:color="CFF0FC"/>
            </w:tcBorders>
            <w:shd w:val="clear" w:color="auto" w:fill="CFF0FC"/>
          </w:tcPr>
          <w:p>
            <w:pPr>
              <w:spacing w:after="0"/>
              <w:rPr>
                <w:sz w:val="23"/>
                <w:szCs w:val="23"/>
                <w:color w:val="auto"/>
              </w:rPr>
            </w:pPr>
          </w:p>
        </w:tc>
        <w:tc>
          <w:tcPr>
            <w:tcW w:w="98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3,172</w:t>
            </w:r>
          </w:p>
        </w:tc>
        <w:tc>
          <w:tcPr>
            <w:tcW w:w="100" w:type="dxa"/>
            <w:vAlign w:val="bottom"/>
            <w:tcBorders>
              <w:bottom w:val="single" w:sz="8" w:color="CFF0FC"/>
            </w:tcBorders>
            <w:shd w:val="clear" w:color="auto" w:fill="CFF0FC"/>
          </w:tcPr>
          <w:p>
            <w:pPr>
              <w:spacing w:after="0"/>
              <w:rPr>
                <w:sz w:val="23"/>
                <w:szCs w:val="23"/>
                <w:color w:val="auto"/>
              </w:rPr>
            </w:pPr>
          </w:p>
        </w:tc>
        <w:tc>
          <w:tcPr>
            <w:tcW w:w="18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(1,551 )</w:t>
            </w:r>
          </w:p>
        </w:tc>
        <w:tc>
          <w:tcPr>
            <w:tcW w:w="10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1,621</w:t>
            </w:r>
          </w:p>
        </w:tc>
        <w:tc>
          <w:tcPr>
            <w:tcW w:w="120" w:type="dxa"/>
            <w:vAlign w:val="bottom"/>
            <w:tcBorders>
              <w:bottom w:val="single" w:sz="8" w:color="CFF0FC"/>
            </w:tcBorders>
            <w:shd w:val="clear" w:color="auto" w:fill="CFF0FC"/>
          </w:tcPr>
          <w:p>
            <w:pPr>
              <w:spacing w:after="0"/>
              <w:rPr>
                <w:sz w:val="23"/>
                <w:szCs w:val="23"/>
                <w:color w:val="auto"/>
              </w:rPr>
            </w:pPr>
          </w:p>
        </w:tc>
        <w:tc>
          <w:tcPr>
            <w:tcW w:w="94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2582545</wp:posOffset>
            </wp:positionH>
            <wp:positionV relativeFrom="paragraph">
              <wp:posOffset>-24765</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2582545</wp:posOffset>
            </wp:positionH>
            <wp:positionV relativeFrom="paragraph">
              <wp:posOffset>-7620</wp:posOffset>
            </wp:positionV>
            <wp:extent cx="7683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-24765</wp:posOffset>
            </wp:positionV>
            <wp:extent cx="768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3249930</wp:posOffset>
            </wp:positionH>
            <wp:positionV relativeFrom="paragraph">
              <wp:posOffset>-7620</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-24765</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-7620</wp:posOffset>
            </wp:positionV>
            <wp:extent cx="7683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-24765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5227955</wp:posOffset>
            </wp:positionH>
            <wp:positionV relativeFrom="paragraph">
              <wp:posOffset>-7620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-24765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5861685</wp:posOffset>
            </wp:positionH>
            <wp:positionV relativeFrom="paragraph">
              <wp:posOffset>-7620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Weighted average life calculated as of the date of acquisition.</w:t>
      </w:r>
    </w:p>
    <w:p>
      <w:pPr>
        <w:spacing w:after="0" w:line="117" w:lineRule="exact"/>
        <w:rPr>
          <w:sz w:val="20"/>
          <w:szCs w:val="20"/>
          <w:color w:val="auto"/>
        </w:rPr>
      </w:pPr>
    </w:p>
    <w:p>
      <w:pPr>
        <w:ind w:right="360" w:firstLine="499"/>
        <w:spacing w:after="0" w:line="281" w:lineRule="auto"/>
        <w:rPr>
          <w:sz w:val="20"/>
          <w:szCs w:val="20"/>
          <w:color w:val="auto"/>
        </w:rPr>
      </w:pPr>
      <w:r>
        <w:rPr>
          <w:rFonts w:ascii="Times New Roman" w:cs="Times New Roman" w:eastAsia="Times New Roman" w:hAnsi="Times New Roman"/>
          <w:sz w:val="18"/>
          <w:szCs w:val="18"/>
          <w:color w:val="auto"/>
        </w:rPr>
        <w:t>Amortization expense for intangible assets for the years ending December 31, 2024, 2025, 2026, 2027 and 2028 is estimated to be $172 million, $168 million, $162 million, $150 million, and $143 million, respectively.</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NOTE 8 Long-Term Debt</w:t>
      </w:r>
    </w:p>
    <w:p>
      <w:pPr>
        <w:spacing w:after="0" w:line="14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Long-term debt consisted of the following:</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3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6"/>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5-year term loan facility expires 2026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c>
          <w:tcPr>
            <w:tcW w:w="6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47"/>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3-year term loan facility expires 2025</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5-year term loan facility expires 2027</w:t>
            </w:r>
          </w:p>
        </w:tc>
        <w:tc>
          <w:tcPr>
            <w:tcW w:w="1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4.200% senior notes, semi-annual interest payments, balloon due 2024</w:t>
            </w:r>
          </w:p>
        </w:tc>
        <w:tc>
          <w:tcPr>
            <w:tcW w:w="1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6"/>
        </w:trPr>
        <w:tc>
          <w:tcPr>
            <w:tcW w:w="8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portion of long-term debt</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40"/>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 agreements:</w:t>
            </w: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4.500% senior notes, semi-annual interest payments, net of the unamortized discount,</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2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balloon due 2029</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350</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1"/>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2.375% senior notes, semi-annual interest payments, net of the unamortized discount,</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balloon due 2031</w:t>
            </w:r>
          </w:p>
        </w:tc>
        <w:tc>
          <w:tcPr>
            <w:tcW w:w="1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w:t>
            </w:r>
          </w:p>
        </w:tc>
        <w:tc>
          <w:tcPr>
            <w:tcW w:w="0" w:type="dxa"/>
            <w:vAlign w:val="bottom"/>
          </w:tcPr>
          <w:p>
            <w:pPr>
              <w:spacing w:after="0"/>
              <w:rPr>
                <w:sz w:val="1"/>
                <w:szCs w:val="1"/>
                <w:color w:val="auto"/>
              </w:rPr>
            </w:pPr>
          </w:p>
        </w:tc>
      </w:tr>
      <w:tr>
        <w:trPr>
          <w:trHeight w:val="218"/>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4.200% senior notes, semi-annual interest payments, net of the unamortized discount,</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26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balloon due 2032</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11"/>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5.650% senior notes, semi-annual interest payments, net of the unamortized discount,</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balloon due 2034</w:t>
            </w:r>
          </w:p>
        </w:tc>
        <w:tc>
          <w:tcPr>
            <w:tcW w:w="1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599</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4.950% senior notes, semi-annual interest payments, net of the unamortized discount,</w:t>
            </w:r>
          </w:p>
        </w:tc>
        <w:tc>
          <w:tcPr>
            <w:tcW w:w="160" w:type="dxa"/>
            <w:vAlign w:val="bottom"/>
            <w:shd w:val="clear" w:color="auto" w:fill="CFF0FC"/>
          </w:tcPr>
          <w:p>
            <w:pPr>
              <w:spacing w:after="0"/>
              <w:rPr>
                <w:sz w:val="18"/>
                <w:szCs w:val="18"/>
                <w:color w:val="auto"/>
              </w:rPr>
            </w:pPr>
          </w:p>
        </w:tc>
        <w:tc>
          <w:tcPr>
            <w:tcW w:w="126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592</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592</w:t>
            </w:r>
          </w:p>
        </w:tc>
        <w:tc>
          <w:tcPr>
            <w:tcW w:w="0" w:type="dxa"/>
            <w:vAlign w:val="bottom"/>
          </w:tcPr>
          <w:p>
            <w:pPr>
              <w:spacing w:after="0"/>
              <w:rPr>
                <w:sz w:val="1"/>
                <w:szCs w:val="1"/>
                <w:color w:val="auto"/>
              </w:rPr>
            </w:pPr>
          </w:p>
        </w:tc>
      </w:tr>
      <w:tr>
        <w:trPr>
          <w:trHeight w:val="234"/>
        </w:trPr>
        <w:tc>
          <w:tcPr>
            <w:tcW w:w="8260" w:type="dxa"/>
            <w:vAlign w:val="bottom"/>
            <w:tcBorders>
              <w:bottom w:val="single" w:sz="8" w:color="CFF0FC"/>
            </w:tcBorders>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balloon due 2052</w:t>
            </w:r>
          </w:p>
        </w:tc>
        <w:tc>
          <w:tcPr>
            <w:tcW w:w="1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notes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2,839</w:t>
            </w:r>
          </w:p>
        </w:tc>
        <w:tc>
          <w:tcPr>
            <w:tcW w:w="1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2,240</w:t>
            </w:r>
          </w:p>
        </w:tc>
        <w:tc>
          <w:tcPr>
            <w:tcW w:w="0" w:type="dxa"/>
            <w:vAlign w:val="bottom"/>
          </w:tcPr>
          <w:p>
            <w:pPr>
              <w:spacing w:after="0"/>
              <w:rPr>
                <w:sz w:val="1"/>
                <w:szCs w:val="1"/>
                <w:color w:val="auto"/>
              </w:rPr>
            </w:pPr>
          </w:p>
        </w:tc>
      </w:tr>
      <w:tr>
        <w:trPr>
          <w:trHeight w:val="240"/>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Credit agreements:</w:t>
            </w:r>
          </w:p>
        </w:tc>
        <w:tc>
          <w:tcPr>
            <w:tcW w:w="1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5-year term loan facility, periodic interest and principal payments, SOFR plus up to</w:t>
            </w: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2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1.750%, expires October 27, 2026</w:t>
            </w:r>
          </w:p>
        </w:tc>
        <w:tc>
          <w:tcPr>
            <w:tcW w:w="1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18"/>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5-year revolving loan facility, periodic interest payments, SOFR plus up to 1.525%, plus commitment fees</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up to 0.225%, expires October 27, 2026</w:t>
            </w:r>
          </w:p>
        </w:tc>
        <w:tc>
          <w:tcPr>
            <w:tcW w:w="1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8"/>
        </w:trPr>
        <w:tc>
          <w:tcPr>
            <w:tcW w:w="82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3-year term loan facility, periodic interest payments, SOFR plus up to 1.625%, expires March 31, 2025</w:t>
            </w:r>
          </w:p>
        </w:tc>
        <w:tc>
          <w:tcPr>
            <w:tcW w:w="1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5"/>
        </w:trPr>
        <w:tc>
          <w:tcPr>
            <w:tcW w:w="82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5-year term loan facility, periodic interest and principal payments, SOFR plus up to 1.750%, expires March</w:t>
            </w:r>
          </w:p>
        </w:tc>
        <w:tc>
          <w:tcPr>
            <w:tcW w:w="160" w:type="dxa"/>
            <w:vAlign w:val="bottom"/>
            <w:shd w:val="clear" w:color="auto" w:fill="CFF0FC"/>
          </w:tcPr>
          <w:p>
            <w:pPr>
              <w:spacing w:after="0"/>
              <w:rPr>
                <w:sz w:val="18"/>
                <w:szCs w:val="18"/>
                <w:color w:val="auto"/>
              </w:rPr>
            </w:pPr>
          </w:p>
        </w:tc>
        <w:tc>
          <w:tcPr>
            <w:tcW w:w="1260" w:type="dxa"/>
            <w:vAlign w:val="bottom"/>
            <w:vMerge w:val="restart"/>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394</w:t>
            </w:r>
          </w:p>
        </w:tc>
        <w:tc>
          <w:tcPr>
            <w:tcW w:w="1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34"/>
        </w:trPr>
        <w:tc>
          <w:tcPr>
            <w:tcW w:w="82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31, 2027</w:t>
            </w:r>
          </w:p>
        </w:tc>
        <w:tc>
          <w:tcPr>
            <w:tcW w:w="1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82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credit agreements</w:t>
            </w: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575</w:t>
            </w:r>
          </w:p>
        </w:tc>
        <w:tc>
          <w:tcPr>
            <w:tcW w:w="1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36"/>
        </w:trPr>
        <w:tc>
          <w:tcPr>
            <w:tcW w:w="82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Debt issuance costs (contra)</w:t>
            </w:r>
          </w:p>
        </w:tc>
        <w:tc>
          <w:tcPr>
            <w:tcW w:w="160" w:type="dxa"/>
            <w:vAlign w:val="bottom"/>
            <w:tcBorders>
              <w:bottom w:val="single" w:sz="8" w:color="auto"/>
            </w:tcBorders>
            <w:shd w:val="clear" w:color="auto" w:fill="CFF0FC"/>
          </w:tcPr>
          <w:p>
            <w:pPr>
              <w:spacing w:after="0"/>
              <w:rPr>
                <w:sz w:val="20"/>
                <w:szCs w:val="20"/>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80" w:type="dxa"/>
            <w:vAlign w:val="bottom"/>
            <w:tcBorders>
              <w:bottom w:val="single" w:sz="8" w:color="CFF0FC"/>
            </w:tcBorders>
            <w:shd w:val="clear" w:color="auto" w:fill="CFF0FC"/>
          </w:tcPr>
          <w:p>
            <w:pPr>
              <w:spacing w:after="0"/>
              <w:rPr>
                <w:sz w:val="20"/>
                <w:szCs w:val="20"/>
                <w:color w:val="auto"/>
              </w:rPr>
            </w:pPr>
          </w:p>
        </w:tc>
        <w:tc>
          <w:tcPr>
            <w:tcW w:w="48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36"/>
        </w:trPr>
        <w:tc>
          <w:tcPr>
            <w:tcW w:w="82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long-term debt, less unamortized discount and debt issuance costs</w:t>
            </w:r>
          </w:p>
        </w:tc>
        <w:tc>
          <w:tcPr>
            <w:tcW w:w="160" w:type="dxa"/>
            <w:vAlign w:val="bottom"/>
          </w:tcPr>
          <w:p>
            <w:pPr>
              <w:spacing w:after="0"/>
              <w:rPr>
                <w:sz w:val="20"/>
                <w:szCs w:val="20"/>
                <w:color w:val="auto"/>
              </w:rPr>
            </w:pP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3,391</w:t>
            </w: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43"/>
        </w:trPr>
        <w:tc>
          <w:tcPr>
            <w:tcW w:w="82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36"/>
        </w:trPr>
        <w:tc>
          <w:tcPr>
            <w:tcW w:w="826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Total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4,116</w:t>
            </w:r>
          </w:p>
        </w:tc>
        <w:tc>
          <w:tcPr>
            <w:tcW w:w="66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3,796</w:t>
            </w:r>
          </w:p>
        </w:tc>
        <w:tc>
          <w:tcPr>
            <w:tcW w:w="0" w:type="dxa"/>
            <w:vAlign w:val="bottom"/>
          </w:tcPr>
          <w:p>
            <w:pPr>
              <w:spacing w:after="0"/>
              <w:rPr>
                <w:sz w:val="1"/>
                <w:szCs w:val="1"/>
                <w:color w:val="auto"/>
              </w:rPr>
            </w:pPr>
          </w:p>
        </w:tc>
      </w:tr>
      <w:tr>
        <w:trPr>
          <w:trHeight w:val="20"/>
        </w:trPr>
        <w:tc>
          <w:tcPr>
            <w:tcW w:w="8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6144260</wp:posOffset>
            </wp:positionH>
            <wp:positionV relativeFrom="paragraph">
              <wp:posOffset>-2174240</wp:posOffset>
            </wp:positionV>
            <wp:extent cx="1200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-829945</wp:posOffset>
            </wp:positionV>
            <wp:extent cx="1200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-504825</wp:posOffset>
            </wp:positionV>
            <wp:extent cx="12001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1200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66"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Note agreements: </w:t>
      </w:r>
      <w:r>
        <w:rPr>
          <w:rFonts w:ascii="Times New Roman" w:cs="Times New Roman" w:eastAsia="Times New Roman" w:hAnsi="Times New Roman"/>
          <w:sz w:val="18"/>
          <w:szCs w:val="18"/>
          <w:color w:val="auto"/>
        </w:rPr>
        <w:t>On June 11, 2024, the Company completed the issuance of $600 million aggregate principal amount of 5.650% Senior Notes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2034 (the “2034 Senior Notes”). The net proceeds to the Company from the issuance of the 2034 Senior Notes, after deducting underwriting discounts and estimated offering expenses, were approximately $593 million. The 2034 Senior Notes were given investment grade ratings of BBB- stable outlook and Baa3 positive outlook. The 2034 Senior Notes will mature in June 2034. Interest on the 2034 Senior Notes will be payable semi-annually in arrears. The 2034 Senior Notes are senior unsecured obligations of the Company and will rank equal in right of payment to all of the Company’s existing and future senior unsecured indebtedness. The Company may redeem the 2034 Senior Notes in whole or in part at any time and from time to time, at the “make whole” redemption prices specified in the prospectus supplement for the 2034 Senior Notes being redeemed, plus accrued and unpaid interest thereon. The Company intends to use the net proceeds from the offering of the 2034 Senior Notes to redeem its 4.200% senior notes due September 2024 and for general corporate purposes. As of June 30, 2024 there was a total outstanding debt balance of $600 million exclusive of the associated discount balance on the 2034 Senior Notes.</w:t>
      </w:r>
    </w:p>
    <w:p>
      <w:pPr>
        <w:spacing w:after="0" w:line="79" w:lineRule="exact"/>
        <w:rPr>
          <w:sz w:val="20"/>
          <w:szCs w:val="20"/>
          <w:color w:val="auto"/>
        </w:rPr>
      </w:pPr>
    </w:p>
    <w:p>
      <w:pPr>
        <w:ind w:right="20" w:firstLine="494"/>
        <w:spacing w:after="0" w:line="281" w:lineRule="auto"/>
        <w:rPr>
          <w:sz w:val="20"/>
          <w:szCs w:val="20"/>
          <w:color w:val="auto"/>
        </w:rPr>
      </w:pPr>
      <w:r>
        <w:rPr>
          <w:rFonts w:ascii="Times New Roman" w:cs="Times New Roman" w:eastAsia="Times New Roman" w:hAnsi="Times New Roman"/>
          <w:sz w:val="18"/>
          <w:szCs w:val="18"/>
          <w:color w:val="auto"/>
        </w:rPr>
        <w:t>The Company also maintains notes from other issuances aggregating to a total outstanding debt balance of $2,750 million exclusive of the associated discount balance as of June 30, 2024 and December 31, 2023.</w:t>
      </w:r>
    </w:p>
    <w:p>
      <w:pPr>
        <w:spacing w:after="0" w:line="51" w:lineRule="exact"/>
        <w:rPr>
          <w:sz w:val="20"/>
          <w:szCs w:val="20"/>
          <w:color w:val="auto"/>
        </w:rPr>
      </w:pPr>
    </w:p>
    <w:p>
      <w:pPr>
        <w:ind w:right="20" w:firstLine="494"/>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Credit agreements: </w:t>
      </w:r>
      <w:r>
        <w:rPr>
          <w:rFonts w:ascii="Times New Roman" w:cs="Times New Roman" w:eastAsia="Times New Roman" w:hAnsi="Times New Roman"/>
          <w:sz w:val="18"/>
          <w:szCs w:val="18"/>
          <w:color w:val="auto"/>
        </w:rPr>
        <w:t>The Company has credit agreements that include term loans and a Revolving Credit Facility of $800 million, all having similar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and covenants. The outstanding balance on the term loans was $800 million and $975 million as of June 30, 2024 and December 31, 2023, respectively. As of June 30, 2024, there was no outstanding balance on the Revolving Credit Facility and as of December 31, 2023 there was a $100 million outstanding balance on the Revolving Credit Facility.</w:t>
      </w:r>
    </w:p>
    <w:p>
      <w:pPr>
        <w:spacing w:after="0" w:line="71" w:lineRule="exact"/>
        <w:rPr>
          <w:sz w:val="20"/>
          <w:szCs w:val="20"/>
          <w:color w:val="auto"/>
        </w:rPr>
      </w:pPr>
    </w:p>
    <w:p>
      <w:pPr>
        <w:ind w:right="480" w:firstLine="494"/>
        <w:spacing w:after="0" w:line="281" w:lineRule="auto"/>
        <w:rPr>
          <w:sz w:val="20"/>
          <w:szCs w:val="20"/>
          <w:color w:val="auto"/>
        </w:rPr>
      </w:pPr>
      <w:r>
        <w:rPr>
          <w:rFonts w:ascii="Times New Roman" w:cs="Times New Roman" w:eastAsia="Times New Roman" w:hAnsi="Times New Roman"/>
          <w:sz w:val="18"/>
          <w:szCs w:val="18"/>
          <w:color w:val="auto"/>
        </w:rPr>
        <w:t>The credit agreements require the Company to maintain certain financial ratios and comply with certain other covenants. The Company was in compliance with all such covenants as of June 30, 2024 and December 31, 2023.</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7" w:name="page18"/>
    <w:bookmarkEnd w:id="17"/>
    <w:p>
      <w:pPr>
        <w:ind w:right="280" w:firstLine="494"/>
        <w:spacing w:after="0" w:line="265" w:lineRule="auto"/>
        <w:rPr>
          <w:sz w:val="20"/>
          <w:szCs w:val="20"/>
          <w:color w:val="auto"/>
        </w:rPr>
      </w:pPr>
      <w:r>
        <w:rPr>
          <w:rFonts w:ascii="Times New Roman" w:cs="Times New Roman" w:eastAsia="Times New Roman" w:hAnsi="Times New Roman"/>
          <w:sz w:val="18"/>
          <w:szCs w:val="18"/>
          <w:color w:val="auto"/>
        </w:rPr>
        <w:t>The 1-month Term SOFR Rate for the 5-year term loan facility expiring October 27, 2026 is 5.445%, the 1-month Term SOFR Rate for the 3-year term loan facility expiring March 31, 2025 is 5.444% and the 1-month Term SOFR Rate for the 5-year term loan facility expiring March 31, 2027 is 5.444% as of June 30, 2024. These SOFR rates are inclusive of a 0.100% credit-spread adjustment per the terms of the relevant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information about financial instruments not measured at fair value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presents liabilities that are not measured at fair value on a recurring basis: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00" w:type="dxa"/>
            <w:vAlign w:val="bottom"/>
            <w:gridSpan w:val="4"/>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31"/>
        </w:trPr>
        <w:tc>
          <w:tcPr>
            <w:tcW w:w="644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ind w:right="141"/>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6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64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shd w:val="clear" w:color="auto" w:fill="CFF0FC"/>
          </w:tcPr>
          <w:p>
            <w:pPr>
              <w:spacing w:after="0"/>
              <w:rPr>
                <w:sz w:val="21"/>
                <w:szCs w:val="21"/>
                <w:color w:val="auto"/>
              </w:rPr>
            </w:pPr>
          </w:p>
        </w:tc>
      </w:tr>
      <w:tr>
        <w:trPr>
          <w:trHeight w:val="234"/>
        </w:trPr>
        <w:tc>
          <w:tcPr>
            <w:tcW w:w="64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20"/>
                <w:szCs w:val="20"/>
                <w:color w:val="auto"/>
              </w:rPr>
            </w:pPr>
          </w:p>
        </w:tc>
      </w:tr>
    </w:tbl>
    <w:p>
      <w:pPr>
        <w:spacing w:after="0" w:line="98" w:lineRule="exact"/>
        <w:rPr>
          <w:sz w:val="20"/>
          <w:szCs w:val="20"/>
          <w:color w:val="auto"/>
        </w:rPr>
      </w:pPr>
    </w:p>
    <w:p>
      <w:pPr>
        <w:jc w:val="both"/>
        <w:ind w:right="180" w:firstLine="494"/>
        <w:spacing w:after="0" w:line="260" w:lineRule="auto"/>
        <w:rPr>
          <w:sz w:val="20"/>
          <w:szCs w:val="20"/>
          <w:color w:val="auto"/>
        </w:rPr>
      </w:pPr>
      <w:r>
        <w:rPr>
          <w:rFonts w:ascii="Times New Roman" w:cs="Times New Roman" w:eastAsia="Times New Roman" w:hAnsi="Times New Roman"/>
          <w:sz w:val="18"/>
          <w:szCs w:val="18"/>
          <w:color w:val="auto"/>
        </w:rPr>
        <w:t>The carrying value of the Company's borrowings under various credit agreements approximates its fair value due to the variable interest rate based upon adjusted SOFR. The fair values above, which exclude accrued interest, are not necessarily indicative of the amounts that the Company would realize upon disposition, nor do they indicate the Company’s intent or ability to dispose of the financial instruments. The fair values of our respective senior notes are considered Level 2 financial instruments as they are corroborated by observable market data.</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ind w:right="200" w:firstLine="494"/>
        <w:spacing w:after="0" w:line="260" w:lineRule="auto"/>
        <w:rPr>
          <w:sz w:val="20"/>
          <w:szCs w:val="20"/>
          <w:color w:val="auto"/>
        </w:rPr>
      </w:pPr>
      <w:r>
        <w:rPr>
          <w:rFonts w:ascii="Times New Roman" w:cs="Times New Roman" w:eastAsia="Times New Roman" w:hAnsi="Times New Roman"/>
          <w:sz w:val="18"/>
          <w:szCs w:val="18"/>
          <w:color w:val="auto"/>
        </w:rPr>
        <w:t>Substantially all of the Company's operating lease right-of-use assets and operating lease liabilities represent real estate leases for office space used to conduct the Company's business that expire on various dates through 2041. Leases generally contain renewal options and escalation clauses based upon increases in the lessors’ operating expenses and other charges. The Company anticipates that most of these leases will be renewed or replaced upon expiration, although not necessarily for the same amount of space.</w:t>
      </w:r>
    </w:p>
    <w:p>
      <w:pPr>
        <w:spacing w:after="0" w:line="74" w:lineRule="exact"/>
        <w:rPr>
          <w:sz w:val="20"/>
          <w:szCs w:val="20"/>
          <w:color w:val="auto"/>
        </w:rPr>
      </w:pPr>
    </w:p>
    <w:p>
      <w:pPr>
        <w:ind w:right="500" w:firstLine="494"/>
        <w:spacing w:after="0" w:line="281" w:lineRule="auto"/>
        <w:rPr>
          <w:sz w:val="20"/>
          <w:szCs w:val="20"/>
          <w:color w:val="auto"/>
        </w:rPr>
      </w:pPr>
      <w:r>
        <w:rPr>
          <w:rFonts w:ascii="Times New Roman" w:cs="Times New Roman" w:eastAsia="Times New Roman" w:hAnsi="Times New Roman"/>
          <w:sz w:val="18"/>
          <w:szCs w:val="18"/>
          <w:color w:val="auto"/>
        </w:rPr>
        <w:t>The balances and classification of operating lease right-of-use assets and operating lease liabilities within the Condensed Consolidated Balance Sheets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 w:type="dxa"/>
            <w:vAlign w:val="bottom"/>
          </w:tcPr>
          <w:p>
            <w:pPr>
              <w:spacing w:after="0"/>
              <w:rPr>
                <w:sz w:val="16"/>
                <w:szCs w:val="16"/>
                <w:color w:val="auto"/>
              </w:rPr>
            </w:pPr>
          </w:p>
        </w:tc>
        <w:tc>
          <w:tcPr>
            <w:tcW w:w="13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Assets:</w:t>
            </w:r>
          </w:p>
        </w:tc>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4"/>
        </w:trPr>
        <w:tc>
          <w:tcPr>
            <w:tcW w:w="2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40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40" w:type="dxa"/>
            <w:vAlign w:val="bottom"/>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192</w:t>
            </w:r>
          </w:p>
        </w:tc>
        <w:tc>
          <w:tcPr>
            <w:tcW w:w="680" w:type="dxa"/>
            <w:vAlign w:val="bottom"/>
            <w:gridSpan w:val="2"/>
            <w:shd w:val="clear" w:color="auto" w:fill="CFF0FC"/>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r>
      <w:tr>
        <w:trPr>
          <w:trHeight w:val="232"/>
        </w:trPr>
        <w:tc>
          <w:tcPr>
            <w:tcW w:w="20" w:type="dxa"/>
            <w:vAlign w:val="bottom"/>
            <w:tcBorders>
              <w:top w:val="single" w:sz="8" w:color="CFF0FC"/>
            </w:tcBorders>
          </w:tcPr>
          <w:p>
            <w:pPr>
              <w:spacing w:after="0"/>
              <w:rPr>
                <w:sz w:val="20"/>
                <w:szCs w:val="20"/>
                <w:color w:val="auto"/>
              </w:rPr>
            </w:pPr>
          </w:p>
        </w:tc>
        <w:tc>
          <w:tcPr>
            <w:tcW w:w="406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40" w:type="dxa"/>
            <w:vAlign w:val="bottom"/>
            <w:tcBorders>
              <w:top w:val="single" w:sz="8" w:color="CFF0FC"/>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Borders>
              <w:top w:val="single" w:sz="8" w:color="CFF0FC"/>
            </w:tcBorders>
          </w:tcPr>
          <w:p>
            <w:pPr>
              <w:spacing w:after="0"/>
              <w:rPr>
                <w:sz w:val="20"/>
                <w:szCs w:val="20"/>
                <w:color w:val="auto"/>
              </w:rPr>
            </w:pPr>
          </w:p>
        </w:tc>
        <w:tc>
          <w:tcPr>
            <w:tcW w:w="5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w:t>
            </w:r>
          </w:p>
        </w:tc>
      </w:tr>
      <w:tr>
        <w:trPr>
          <w:trHeight w:val="220"/>
        </w:trPr>
        <w:tc>
          <w:tcPr>
            <w:tcW w:w="2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gridSpan w:val="2"/>
            <w:shd w:val="clear" w:color="auto" w:fill="CFF0FC"/>
          </w:tcPr>
          <w:p>
            <w:pPr>
              <w:spacing w:after="0" w:line="187" w:lineRule="exact"/>
              <w:rPr>
                <w:sz w:val="20"/>
                <w:szCs w:val="20"/>
                <w:color w:val="auto"/>
              </w:rPr>
            </w:pPr>
            <w:r>
              <w:rPr>
                <w:rFonts w:ascii="Times New Roman" w:cs="Times New Roman" w:eastAsia="Times New Roman" w:hAnsi="Times New Roman"/>
                <w:sz w:val="18"/>
                <w:szCs w:val="18"/>
                <w:color w:val="auto"/>
                <w:w w:val="97"/>
              </w:rPr>
              <w:t>Liabilities:</w:t>
            </w:r>
          </w:p>
        </w:tc>
        <w:tc>
          <w:tcPr>
            <w:tcW w:w="3280" w:type="dxa"/>
            <w:vAlign w:val="bottom"/>
            <w:tcBorders>
              <w:bottom w:val="single" w:sz="8" w:color="CFF0FC"/>
            </w:tcBorders>
            <w:shd w:val="clear" w:color="auto" w:fill="CFF0FC"/>
          </w:tcPr>
          <w:p>
            <w:pPr>
              <w:spacing w:after="0"/>
              <w:rPr>
                <w:sz w:val="19"/>
                <w:szCs w:val="19"/>
                <w:color w:val="auto"/>
              </w:rPr>
            </w:pPr>
          </w:p>
        </w:tc>
        <w:tc>
          <w:tcPr>
            <w:tcW w:w="4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CFF0FC"/>
            </w:tcBorders>
            <w:shd w:val="clear" w:color="auto" w:fill="CFF0FC"/>
          </w:tcPr>
          <w:p>
            <w:pPr>
              <w:spacing w:after="0"/>
              <w:rPr>
                <w:sz w:val="19"/>
                <w:szCs w:val="19"/>
                <w:color w:val="auto"/>
              </w:rPr>
            </w:pPr>
          </w:p>
        </w:tc>
        <w:tc>
          <w:tcPr>
            <w:tcW w:w="840" w:type="dxa"/>
            <w:vAlign w:val="bottom"/>
            <w:tcBorders>
              <w:bottom w:val="single" w:sz="8" w:color="CFF0FC"/>
            </w:tcBorders>
            <w:shd w:val="clear" w:color="auto" w:fill="CFF0FC"/>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2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41"/>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24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w:t>
            </w:r>
          </w:p>
        </w:tc>
      </w:tr>
      <w:tr>
        <w:trPr>
          <w:trHeight w:val="249"/>
        </w:trPr>
        <w:tc>
          <w:tcPr>
            <w:tcW w:w="20" w:type="dxa"/>
            <w:vAlign w:val="bottom"/>
            <w:tcBorders>
              <w:bottom w:val="single" w:sz="8" w:color="CFF0FC"/>
            </w:tcBorders>
            <w:shd w:val="clear" w:color="auto" w:fill="CFF0FC"/>
          </w:tcPr>
          <w:p>
            <w:pPr>
              <w:spacing w:after="0"/>
              <w:rPr>
                <w:sz w:val="21"/>
                <w:szCs w:val="21"/>
                <w:color w:val="auto"/>
              </w:rPr>
            </w:pPr>
          </w:p>
        </w:tc>
        <w:tc>
          <w:tcPr>
            <w:tcW w:w="40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240" w:type="dxa"/>
            <w:vAlign w:val="bottom"/>
            <w:tcBorders>
              <w:bottom w:val="single" w:sz="8" w:color="CFF0FC"/>
            </w:tcBorders>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180</w:t>
            </w:r>
          </w:p>
        </w:tc>
        <w:tc>
          <w:tcPr>
            <w:tcW w:w="140" w:type="dxa"/>
            <w:vAlign w:val="bottom"/>
            <w:tcBorders>
              <w:bottom w:val="single" w:sz="8" w:color="CFF0FC"/>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179</w:t>
            </w:r>
          </w:p>
        </w:tc>
      </w:tr>
      <w:tr>
        <w:trPr>
          <w:trHeight w:val="232"/>
        </w:trPr>
        <w:tc>
          <w:tcPr>
            <w:tcW w:w="20" w:type="dxa"/>
            <w:vAlign w:val="bottom"/>
          </w:tcPr>
          <w:p>
            <w:pPr>
              <w:spacing w:after="0"/>
              <w:rPr>
                <w:sz w:val="20"/>
                <w:szCs w:val="20"/>
                <w:color w:val="auto"/>
              </w:rPr>
            </w:pPr>
          </w:p>
        </w:tc>
        <w:tc>
          <w:tcPr>
            <w:tcW w:w="4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4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225</w:t>
            </w:r>
          </w:p>
        </w:tc>
        <w:tc>
          <w:tcPr>
            <w:tcW w:w="680" w:type="dxa"/>
            <w:vAlign w:val="bottom"/>
            <w:gridSpan w:val="2"/>
          </w:tcPr>
          <w:p>
            <w:pPr>
              <w:jc w:val="right"/>
              <w:ind w:right="36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6169660</wp:posOffset>
            </wp:positionH>
            <wp:positionV relativeFrom="paragraph">
              <wp:posOffset>-958215</wp:posOffset>
            </wp:positionV>
            <wp:extent cx="939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6169660</wp:posOffset>
            </wp:positionH>
            <wp:positionV relativeFrom="paragraph">
              <wp:posOffset>-187960</wp:posOffset>
            </wp:positionV>
            <wp:extent cx="939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70" w:lineRule="exact"/>
        <w:rPr>
          <w:sz w:val="20"/>
          <w:szCs w:val="20"/>
          <w:color w:val="auto"/>
        </w:rPr>
      </w:pPr>
    </w:p>
    <w:p>
      <w:pPr>
        <w:ind w:right="360" w:firstLine="494"/>
        <w:spacing w:after="0" w:line="281" w:lineRule="auto"/>
        <w:rPr>
          <w:sz w:val="20"/>
          <w:szCs w:val="20"/>
          <w:color w:val="auto"/>
        </w:rPr>
      </w:pPr>
      <w:r>
        <w:rPr>
          <w:rFonts w:ascii="Times New Roman" w:cs="Times New Roman" w:eastAsia="Times New Roman" w:hAnsi="Times New Roman"/>
          <w:sz w:val="18"/>
          <w:szCs w:val="18"/>
          <w:color w:val="auto"/>
        </w:rPr>
        <w:t>As of June 30, 2024, the Company has entered into future lease agreements expected to commence later in 2024 consisting of undiscounted lease liabilities of $1 million.</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for operating leases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32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tcBorders>
              <w:bottom w:val="single" w:sz="8" w:color="auto"/>
            </w:tcBorders>
            <w:gridSpan w:val="5"/>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5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11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572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Operating leases:</w:t>
            </w:r>
          </w:p>
        </w:tc>
        <w:tc>
          <w:tcPr>
            <w:tcW w:w="86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34"/>
        </w:trPr>
        <w:tc>
          <w:tcPr>
            <w:tcW w:w="20" w:type="dxa"/>
            <w:vAlign w:val="bottom"/>
          </w:tcPr>
          <w:p>
            <w:pPr>
              <w:spacing w:after="0"/>
              <w:rPr>
                <w:sz w:val="2"/>
                <w:szCs w:val="2"/>
                <w:color w:val="auto"/>
              </w:rPr>
            </w:pPr>
          </w:p>
        </w:tc>
        <w:tc>
          <w:tcPr>
            <w:tcW w:w="1240" w:type="dxa"/>
            <w:vAlign w:val="bottom"/>
            <w:tcBorders>
              <w:top w:val="single" w:sz="8" w:color="auto"/>
            </w:tcBorders>
          </w:tcPr>
          <w:p>
            <w:pPr>
              <w:spacing w:after="0"/>
              <w:rPr>
                <w:sz w:val="2"/>
                <w:szCs w:val="2"/>
                <w:color w:val="auto"/>
              </w:rPr>
            </w:pPr>
          </w:p>
        </w:tc>
        <w:tc>
          <w:tcPr>
            <w:tcW w:w="4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20" w:type="dxa"/>
            <w:vAlign w:val="bottom"/>
            <w:shd w:val="clear" w:color="auto" w:fill="CFF0FC"/>
          </w:tcPr>
          <w:p>
            <w:pPr>
              <w:spacing w:after="0"/>
              <w:rPr>
                <w:sz w:val="21"/>
                <w:szCs w:val="21"/>
                <w:color w:val="auto"/>
              </w:rPr>
            </w:pPr>
          </w:p>
        </w:tc>
        <w:tc>
          <w:tcPr>
            <w:tcW w:w="572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Lease cost</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140" w:type="dxa"/>
            <w:vAlign w:val="bottom"/>
            <w:gridSpan w:val="2"/>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80" w:type="dxa"/>
            <w:vAlign w:val="bottom"/>
            <w:gridSpan w:val="2"/>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21"/>
                <w:szCs w:val="21"/>
                <w:color w:val="auto"/>
              </w:rPr>
            </w:pPr>
          </w:p>
        </w:tc>
      </w:tr>
      <w:tr>
        <w:trPr>
          <w:trHeight w:val="238"/>
        </w:trPr>
        <w:tc>
          <w:tcPr>
            <w:tcW w:w="20" w:type="dxa"/>
            <w:vAlign w:val="bottom"/>
            <w:tcBorders>
              <w:bottom w:val="single" w:sz="8" w:color="CFF0FC"/>
            </w:tcBorders>
          </w:tcPr>
          <w:p>
            <w:pPr>
              <w:spacing w:after="0"/>
              <w:rPr>
                <w:sz w:val="20"/>
                <w:szCs w:val="20"/>
                <w:color w:val="auto"/>
              </w:rPr>
            </w:pPr>
          </w:p>
        </w:tc>
        <w:tc>
          <w:tcPr>
            <w:tcW w:w="5720" w:type="dxa"/>
            <w:vAlign w:val="bottom"/>
            <w:tcBorders>
              <w:bottom w:val="single" w:sz="8" w:color="CFF0FC"/>
            </w:tcBorders>
            <w:gridSpan w:val="2"/>
          </w:tcPr>
          <w:p>
            <w:pPr>
              <w:ind w:left="180"/>
              <w:spacing w:after="0"/>
              <w:rPr>
                <w:sz w:val="20"/>
                <w:szCs w:val="20"/>
                <w:color w:val="auto"/>
              </w:rPr>
            </w:pPr>
            <w:r>
              <w:rPr>
                <w:rFonts w:ascii="Times New Roman" w:cs="Times New Roman" w:eastAsia="Times New Roman" w:hAnsi="Times New Roman"/>
                <w:sz w:val="18"/>
                <w:szCs w:val="18"/>
                <w:color w:val="auto"/>
              </w:rPr>
              <w:t>Variable lease cost</w:t>
            </w:r>
          </w:p>
        </w:tc>
        <w:tc>
          <w:tcPr>
            <w:tcW w:w="8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FF0FC"/>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CFF0FC"/>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tcPr>
          <w:p>
            <w:pPr>
              <w:spacing w:after="0"/>
              <w:rPr>
                <w:sz w:val="20"/>
                <w:szCs w:val="20"/>
                <w:color w:val="auto"/>
              </w:rPr>
            </w:pPr>
          </w:p>
        </w:tc>
      </w:tr>
      <w:tr>
        <w:trPr>
          <w:trHeight w:val="240"/>
        </w:trPr>
        <w:tc>
          <w:tcPr>
            <w:tcW w:w="20" w:type="dxa"/>
            <w:vAlign w:val="bottom"/>
            <w:shd w:val="clear" w:color="auto" w:fill="CFF0FC"/>
          </w:tcPr>
          <w:p>
            <w:pPr>
              <w:spacing w:after="0"/>
              <w:rPr>
                <w:sz w:val="20"/>
                <w:szCs w:val="20"/>
                <w:color w:val="auto"/>
              </w:rPr>
            </w:pPr>
          </w:p>
        </w:tc>
        <w:tc>
          <w:tcPr>
            <w:tcW w:w="5720" w:type="dxa"/>
            <w:vAlign w:val="bottom"/>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Operating lease cost</w:t>
            </w:r>
          </w:p>
        </w:tc>
        <w:tc>
          <w:tcPr>
            <w:tcW w:w="86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FF0FC"/>
          </w:tcPr>
          <w:p>
            <w:pPr>
              <w:spacing w:after="0"/>
              <w:rPr>
                <w:sz w:val="20"/>
                <w:szCs w:val="20"/>
                <w:color w:val="auto"/>
              </w:rPr>
            </w:pPr>
          </w:p>
        </w:tc>
      </w:tr>
      <w:tr>
        <w:trPr>
          <w:trHeight w:val="238"/>
        </w:trPr>
        <w:tc>
          <w:tcPr>
            <w:tcW w:w="20" w:type="dxa"/>
            <w:vAlign w:val="bottom"/>
          </w:tcPr>
          <w:p>
            <w:pPr>
              <w:spacing w:after="0"/>
              <w:rPr>
                <w:sz w:val="20"/>
                <w:szCs w:val="20"/>
                <w:color w:val="auto"/>
              </w:rPr>
            </w:pPr>
          </w:p>
        </w:tc>
        <w:tc>
          <w:tcPr>
            <w:tcW w:w="5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Sublease income</w:t>
            </w:r>
          </w:p>
        </w:tc>
        <w:tc>
          <w:tcPr>
            <w:tcW w:w="8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61"/>
        </w:trPr>
        <w:tc>
          <w:tcPr>
            <w:tcW w:w="20" w:type="dxa"/>
            <w:vAlign w:val="bottom"/>
            <w:tcBorders>
              <w:bottom w:val="single" w:sz="8" w:color="CFF0FC"/>
            </w:tcBorders>
            <w:shd w:val="clear" w:color="auto" w:fill="CFF0FC"/>
          </w:tcPr>
          <w:p>
            <w:pPr>
              <w:spacing w:after="0"/>
              <w:rPr>
                <w:sz w:val="22"/>
                <w:szCs w:val="22"/>
                <w:color w:val="auto"/>
              </w:rPr>
            </w:pPr>
          </w:p>
        </w:tc>
        <w:tc>
          <w:tcPr>
            <w:tcW w:w="5720" w:type="dxa"/>
            <w:vAlign w:val="bottom"/>
            <w:tcBorders>
              <w:bottom w:val="single" w:sz="8" w:color="CFF0FC"/>
            </w:tcBorders>
            <w:gridSpan w:val="2"/>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Total lease cost net</w:t>
            </w:r>
          </w:p>
        </w:tc>
        <w:tc>
          <w:tcPr>
            <w:tcW w:w="86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Borders>
              <w:bottom w:val="single" w:sz="8" w:color="CFF0FC"/>
            </w:tcBorders>
            <w:shd w:val="clear" w:color="auto" w:fill="CFF0FC"/>
          </w:tcPr>
          <w:p>
            <w:pPr>
              <w:spacing w:after="0"/>
              <w:rPr>
                <w:sz w:val="22"/>
                <w:szCs w:val="22"/>
                <w:color w:val="auto"/>
              </w:rPr>
            </w:pP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top w:val="single" w:sz="8" w:color="auto"/>
              <w:bottom w:val="single" w:sz="8" w:color="auto"/>
            </w:tcBorders>
            <w:shd w:val="clear" w:color="auto" w:fill="CFF0FC"/>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CFF0FC"/>
            </w:tcBorders>
            <w:shd w:val="clear" w:color="auto" w:fill="CFF0FC"/>
          </w:tcPr>
          <w:p>
            <w:pPr>
              <w:spacing w:after="0"/>
              <w:rPr>
                <w:sz w:val="22"/>
                <w:szCs w:val="22"/>
                <w:color w:val="auto"/>
              </w:rPr>
            </w:pPr>
          </w:p>
        </w:tc>
        <w:tc>
          <w:tcPr>
            <w:tcW w:w="840" w:type="dxa"/>
            <w:vAlign w:val="bottom"/>
            <w:tcBorders>
              <w:top w:val="single" w:sz="8" w:color="auto"/>
              <w:bottom w:val="single" w:sz="8" w:color="auto"/>
            </w:tcBorders>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44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40" w:type="dxa"/>
            <w:vAlign w:val="bottom"/>
            <w:tcBorders>
              <w:top w:val="single" w:sz="8" w:color="CFF0FC"/>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000000"/>
          </w:tcPr>
          <w:p>
            <w:pPr>
              <w:spacing w:after="0" w:line="20" w:lineRule="exact"/>
              <w:rPr>
                <w:sz w:val="1"/>
                <w:szCs w:val="1"/>
                <w:color w:val="auto"/>
              </w:rPr>
            </w:pPr>
          </w:p>
        </w:tc>
        <w:tc>
          <w:tcPr>
            <w:tcW w:w="840" w:type="dxa"/>
            <w:vAlign w:val="bottom"/>
            <w:tcBorders>
              <w:top w:val="single" w:sz="8" w:color="CFF0FC"/>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4389120</wp:posOffset>
            </wp:positionH>
            <wp:positionV relativeFrom="paragraph">
              <wp:posOffset>-504825</wp:posOffset>
            </wp:positionV>
            <wp:extent cx="7683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-504825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-504825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-24765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4389120</wp:posOffset>
            </wp:positionH>
            <wp:positionV relativeFrom="paragraph">
              <wp:posOffset>-7620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5305425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6186805</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weighted average remaining lease term and the weighted average discount rate for operating leases as of June 30, 2024 were:</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6740" w:type="dxa"/>
            <w:vAlign w:val="bottom"/>
            <w:shd w:val="clear" w:color="auto" w:fill="CFF0FC"/>
          </w:tcPr>
          <w:p>
            <w:pPr>
              <w:ind w:left="6300"/>
              <w:spacing w:after="0"/>
              <w:rPr>
                <w:sz w:val="20"/>
                <w:szCs w:val="20"/>
                <w:color w:val="auto"/>
              </w:rPr>
            </w:pPr>
            <w:r>
              <w:rPr>
                <w:rFonts w:ascii="Times New Roman" w:cs="Times New Roman" w:eastAsia="Times New Roman" w:hAnsi="Times New Roman"/>
                <w:sz w:val="18"/>
                <w:szCs w:val="18"/>
                <w:color w:val="auto"/>
              </w:rPr>
              <w:t>6.14</w:t>
            </w:r>
          </w:p>
        </w:tc>
        <w:tc>
          <w:tcPr>
            <w:tcW w:w="60" w:type="dxa"/>
            <w:vAlign w:val="bottom"/>
          </w:tcPr>
          <w:p>
            <w:pPr>
              <w:spacing w:after="0"/>
              <w:rPr>
                <w:sz w:val="21"/>
                <w:szCs w:val="21"/>
                <w:color w:val="auto"/>
              </w:rPr>
            </w:pPr>
          </w:p>
        </w:tc>
      </w:tr>
      <w:tr>
        <w:trPr>
          <w:trHeight w:val="234"/>
        </w:trPr>
        <w:tc>
          <w:tcPr>
            <w:tcW w:w="4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6800" w:type="dxa"/>
            <w:vAlign w:val="bottom"/>
            <w:gridSpan w:val="2"/>
          </w:tcPr>
          <w:p>
            <w:pPr>
              <w:ind w:left="6300"/>
              <w:spacing w:after="0"/>
              <w:rPr>
                <w:sz w:val="20"/>
                <w:szCs w:val="20"/>
                <w:color w:val="auto"/>
              </w:rPr>
            </w:pPr>
            <w:r>
              <w:rPr>
                <w:rFonts w:ascii="Times New Roman" w:cs="Times New Roman" w:eastAsia="Times New Roman" w:hAnsi="Times New Roman"/>
                <w:sz w:val="18"/>
                <w:szCs w:val="18"/>
                <w:color w:val="auto"/>
                <w:w w:val="94"/>
              </w:rPr>
              <w:t>3.66 %</w:t>
            </w:r>
          </w:p>
        </w:tc>
      </w:tr>
      <w:tr>
        <w:trPr>
          <w:trHeight w:val="656"/>
        </w:trPr>
        <w:tc>
          <w:tcPr>
            <w:tcW w:w="4500" w:type="dxa"/>
            <w:vAlign w:val="bottom"/>
          </w:tcPr>
          <w:p>
            <w:pPr>
              <w:spacing w:after="0"/>
              <w:rPr>
                <w:sz w:val="24"/>
                <w:szCs w:val="24"/>
                <w:color w:val="auto"/>
              </w:rPr>
            </w:pPr>
          </w:p>
        </w:tc>
        <w:tc>
          <w:tcPr>
            <w:tcW w:w="6740" w:type="dxa"/>
            <w:vAlign w:val="bottom"/>
          </w:tcPr>
          <w:p>
            <w:pPr>
              <w:jc w:val="right"/>
              <w:ind w:right="5430"/>
              <w:spacing w:after="0"/>
              <w:rPr>
                <w:sz w:val="20"/>
                <w:szCs w:val="20"/>
                <w:color w:val="auto"/>
              </w:rPr>
            </w:pPr>
            <w:r>
              <w:rPr>
                <w:rFonts w:ascii="Times New Roman" w:cs="Times New Roman" w:eastAsia="Times New Roman" w:hAnsi="Times New Roman"/>
                <w:sz w:val="18"/>
                <w:szCs w:val="18"/>
                <w:color w:val="auto"/>
              </w:rPr>
              <w:t>18</w:t>
            </w:r>
          </w:p>
        </w:tc>
        <w:tc>
          <w:tcPr>
            <w:tcW w:w="60" w:type="dxa"/>
            <w:vAlign w:val="bottom"/>
          </w:tcPr>
          <w:p>
            <w:pPr>
              <w:spacing w:after="0"/>
              <w:rPr>
                <w:sz w:val="24"/>
                <w:szCs w:val="24"/>
                <w:color w:val="auto"/>
              </w:rPr>
            </w:pPr>
          </w:p>
        </w:tc>
      </w:tr>
      <w:tr>
        <w:trPr>
          <w:trHeight w:val="762"/>
        </w:trPr>
        <w:tc>
          <w:tcPr>
            <w:tcW w:w="4500" w:type="dxa"/>
            <w:vAlign w:val="bottom"/>
            <w:tcBorders>
              <w:bottom w:val="single" w:sz="8" w:color="9A9A9A"/>
            </w:tcBorders>
          </w:tcPr>
          <w:p>
            <w:pPr>
              <w:spacing w:after="0"/>
              <w:rPr>
                <w:sz w:val="24"/>
                <w:szCs w:val="24"/>
                <w:color w:val="auto"/>
              </w:rPr>
            </w:pPr>
          </w:p>
        </w:tc>
        <w:tc>
          <w:tcPr>
            <w:tcW w:w="674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092" w:right="279" w:bottom="708" w:gutter="0" w:footer="0" w:header="0"/>
        </w:sectPr>
      </w:pPr>
    </w:p>
    <w:bookmarkStart w:id="18" w:name="page19"/>
    <w:bookmarkEnd w:id="18"/>
    <w:p>
      <w:pPr>
        <w:ind w:left="500"/>
        <w:spacing w:after="0"/>
        <w:rPr>
          <w:sz w:val="20"/>
          <w:szCs w:val="20"/>
          <w:color w:val="auto"/>
        </w:rPr>
      </w:pPr>
      <w:r>
        <w:rPr>
          <w:rFonts w:ascii="Times New Roman" w:cs="Times New Roman" w:eastAsia="Times New Roman" w:hAnsi="Times New Roman"/>
          <w:sz w:val="18"/>
          <w:szCs w:val="18"/>
          <w:color w:val="auto"/>
        </w:rPr>
        <w:t>Maturities of the operating lease liabilities by fiscal year at June 30, 2024 for the Company's operating leases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40" w:type="dxa"/>
            <w:vAlign w:val="bottom"/>
            <w:tcBorders>
              <w:bottom w:val="single" w:sz="8" w:color="auto"/>
            </w:tcBorders>
          </w:tcPr>
          <w:p>
            <w:pPr>
              <w:spacing w:after="0"/>
              <w:rPr>
                <w:sz w:val="16"/>
                <w:szCs w:val="16"/>
                <w:color w:val="auto"/>
              </w:rPr>
            </w:pPr>
          </w:p>
        </w:tc>
      </w:tr>
      <w:tr>
        <w:trPr>
          <w:trHeight w:val="23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(Remainder)</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0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r>
      <w:tr>
        <w:trPr>
          <w:trHeight w:val="238"/>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w:t>
            </w: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38"/>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r>
      <w:tr>
        <w:trPr>
          <w:trHeight w:val="247"/>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r>
      <w:tr>
        <w:trPr>
          <w:trHeight w:val="238"/>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69</w:t>
            </w:r>
          </w:p>
        </w:tc>
      </w:tr>
      <w:tr>
        <w:trPr>
          <w:trHeight w:val="240"/>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r>
      <w:tr>
        <w:trPr>
          <w:trHeight w:val="238"/>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r>
      <w:tr>
        <w:trPr>
          <w:trHeight w:val="27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lease payments</w:t>
            </w:r>
          </w:p>
        </w:tc>
        <w:tc>
          <w:tcPr>
            <w:tcW w:w="26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82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106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760" w:type="dxa"/>
            <w:vAlign w:val="bottom"/>
            <w:shd w:val="clear" w:color="auto" w:fill="CFF0FC"/>
          </w:tcPr>
          <w:p>
            <w:pPr>
              <w:spacing w:after="0"/>
              <w:rPr>
                <w:sz w:val="24"/>
                <w:szCs w:val="24"/>
                <w:color w:val="auto"/>
              </w:rPr>
            </w:pP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r>
      <w:tr>
        <w:trPr>
          <w:trHeight w:val="308"/>
        </w:trPr>
        <w:tc>
          <w:tcPr>
            <w:tcW w:w="5720" w:type="dxa"/>
            <w:vAlign w:val="bottom"/>
            <w:tcBorders>
              <w:top w:val="single" w:sz="8" w:color="CFF0FC"/>
            </w:tcBorders>
          </w:tcPr>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for operating leases is as follows:</w:t>
            </w:r>
          </w:p>
        </w:tc>
        <w:tc>
          <w:tcPr>
            <w:tcW w:w="26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820" w:type="dxa"/>
            <w:vAlign w:val="bottom"/>
            <w:tcBorders>
              <w:top w:val="single" w:sz="8" w:color="CFF0FC"/>
            </w:tcBorders>
          </w:tcPr>
          <w:p>
            <w:pPr>
              <w:spacing w:after="0"/>
              <w:rPr>
                <w:sz w:val="24"/>
                <w:szCs w:val="24"/>
                <w:color w:val="auto"/>
              </w:rPr>
            </w:pPr>
          </w:p>
        </w:tc>
        <w:tc>
          <w:tcPr>
            <w:tcW w:w="40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52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r>
      <w:tr>
        <w:trPr>
          <w:trHeight w:val="418"/>
        </w:trPr>
        <w:tc>
          <w:tcPr>
            <w:tcW w:w="57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4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tcBorders>
              <w:bottom w:val="single" w:sz="8" w:color="auto"/>
            </w:tcBorders>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440" w:type="dxa"/>
            <w:vAlign w:val="bottom"/>
            <w:tcBorders>
              <w:bottom w:val="single" w:sz="8" w:color="auto"/>
            </w:tcBorders>
          </w:tcPr>
          <w:p>
            <w:pPr>
              <w:spacing w:after="0"/>
              <w:rPr>
                <w:sz w:val="24"/>
                <w:szCs w:val="24"/>
                <w:color w:val="auto"/>
              </w:rPr>
            </w:pPr>
          </w:p>
        </w:tc>
      </w:tr>
      <w:tr>
        <w:trPr>
          <w:trHeight w:val="169"/>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4"/>
                <w:szCs w:val="14"/>
                <w:color w:val="auto"/>
              </w:rPr>
            </w:pPr>
          </w:p>
        </w:tc>
        <w:tc>
          <w:tcPr>
            <w:tcW w:w="9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Pr>
          <w:p>
            <w:pPr>
              <w:spacing w:after="0"/>
              <w:rPr>
                <w:sz w:val="14"/>
                <w:szCs w:val="14"/>
                <w:color w:val="auto"/>
              </w:rPr>
            </w:pPr>
          </w:p>
        </w:tc>
      </w:tr>
      <w:tr>
        <w:trPr>
          <w:trHeight w:val="229"/>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liabilities</w:t>
            </w: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r>
      <w:tr>
        <w:trPr>
          <w:trHeight w:val="249"/>
        </w:trPr>
        <w:tc>
          <w:tcPr>
            <w:tcW w:w="5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15</w:t>
            </w:r>
          </w:p>
        </w:tc>
        <w:tc>
          <w:tcPr>
            <w:tcW w:w="1100" w:type="dxa"/>
            <w:vAlign w:val="bottom"/>
            <w:gridSpan w:val="2"/>
            <w:shd w:val="clear" w:color="auto" w:fill="CFF0FC"/>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800" w:type="dxa"/>
            <w:vAlign w:val="bottom"/>
            <w:gridSpan w:val="2"/>
            <w:shd w:val="clear" w:color="auto" w:fill="CFF0FC"/>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30</w:t>
            </w:r>
          </w:p>
        </w:tc>
        <w:tc>
          <w:tcPr>
            <w:tcW w:w="860" w:type="dxa"/>
            <w:vAlign w:val="bottom"/>
            <w:gridSpan w:val="2"/>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13</w:t>
            </w:r>
          </w:p>
        </w:tc>
        <w:tc>
          <w:tcPr>
            <w:tcW w:w="11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800" w:type="dxa"/>
            <w:vAlign w:val="bottom"/>
            <w:gridSpan w:val="2"/>
          </w:tcPr>
          <w:p>
            <w:pPr>
              <w:jc w:val="right"/>
              <w:ind w:right="348"/>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4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w:t>
            </w:r>
          </w:p>
        </w:tc>
        <w:tc>
          <w:tcPr>
            <w:tcW w:w="86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Supplemental Disclosures of Cash Flow Information and Non-Cash Financing and Investing Activities</w:t>
      </w:r>
    </w:p>
    <w:p>
      <w:pPr>
        <w:spacing w:after="0" w:line="121" w:lineRule="exact"/>
        <w:rPr>
          <w:sz w:val="20"/>
          <w:szCs w:val="20"/>
          <w:color w:val="auto"/>
        </w:rPr>
      </w:pPr>
    </w:p>
    <w:p>
      <w:pPr>
        <w:ind w:right="820" w:firstLine="749"/>
        <w:spacing w:after="0" w:line="281" w:lineRule="auto"/>
        <w:rPr>
          <w:sz w:val="20"/>
          <w:szCs w:val="20"/>
          <w:color w:val="auto"/>
        </w:rPr>
      </w:pPr>
      <w:r>
        <w:rPr>
          <w:rFonts w:ascii="Times New Roman" w:cs="Times New Roman" w:eastAsia="Times New Roman" w:hAnsi="Times New Roman"/>
          <w:sz w:val="18"/>
          <w:szCs w:val="18"/>
          <w:color w:val="auto"/>
        </w:rPr>
        <w:t>During the six months ended June 30, 2024, the Company had a minimal impact from foreign exchange rate changes on cash and cash equivalents inclusive of fiduciary cash reported on its Condensed Consolidated Statements of Cash Flows.</w:t>
      </w:r>
    </w:p>
    <w:p>
      <w:pPr>
        <w:spacing w:after="0" w:line="55" w:lineRule="exact"/>
        <w:rPr>
          <w:sz w:val="20"/>
          <w:szCs w:val="20"/>
          <w:color w:val="auto"/>
        </w:rPr>
      </w:pPr>
    </w:p>
    <w:p>
      <w:pPr>
        <w:ind w:right="200" w:firstLine="749"/>
        <w:spacing w:after="0" w:line="265" w:lineRule="auto"/>
        <w:rPr>
          <w:sz w:val="20"/>
          <w:szCs w:val="20"/>
          <w:color w:val="auto"/>
        </w:rPr>
      </w:pPr>
      <w:r>
        <w:rPr>
          <w:rFonts w:ascii="Times New Roman" w:cs="Times New Roman" w:eastAsia="Times New Roman" w:hAnsi="Times New Roman"/>
          <w:sz w:val="18"/>
          <w:szCs w:val="18"/>
          <w:color w:val="auto"/>
        </w:rPr>
        <w:t>Pursuant to the sale of certain third-party claims administration and adjusting services businesses in the fourth quarter of 2023, the Company is entitled to future consideration payments upon achievement of certain conditions in accordance with the terms of the sale agreement. During the second quarter of 2024, the Company received $57 million from the settlement of two of the contingent payments.</w:t>
      </w:r>
    </w:p>
    <w:p>
      <w:pPr>
        <w:spacing w:after="0" w:line="6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During the second quarter, the Company completed the issuance of the 2034 Senior Notes. The net proceeds to the Company from the issuance of the 2034 Senior Notes, after deducting underwriting discounts and estimated offering expenses, were approximately $593 million. A portion of those proceeds totaling $395 million have been placed in short-term US Treasury Bills. These US Treasury Bills are presented as cash and cash equivalents on the Condensed Consolidated Balance Sheet as they will mature in less than 90 days from the date of the purchase. There was another $100 million placed in money market funds also presented as cash and cash equivalents on the Condensed Consolidated Balance Sheet due to their liquidity profile. The Company intends to use the cash to redeem its 4.200% senior notes due September 2024 and for general corporate purposes.</w:t>
      </w:r>
    </w:p>
    <w:p>
      <w:pPr>
        <w:spacing w:after="0" w:line="78"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During 2023, the Company accrued for and deferred $91 million related to certain federal income tax payments. This deferral was allowed under Hurricane Idalia tax relief, which was announced by the Internal Revenue Service on August 30, 2023. These deferral of income tax payments were paid by the deadline of February 15, 2024. On March 15, 2023, the Company paid $31 million of accrued federal income tax payments originally due in the fourth quarter of 2022, which was deferred under a similar tax deferral announced by the Internal Revenue Service associated with Hurricane Ian which was announced on September 29, 2022. During the first quarter of 2024, the Company also made tax payments of approximately $30 million associated with the gain on disposal of certain third-party claims administration and adjusting services businesses sold in the fourth quarter of 2023.</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paid during the period for interest and income taxes are summarized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16"/>
                <w:szCs w:val="16"/>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0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4"/>
                <w:szCs w:val="14"/>
                <w:color w:val="auto"/>
              </w:rPr>
            </w:pPr>
          </w:p>
        </w:tc>
        <w:tc>
          <w:tcPr>
            <w:tcW w:w="1280" w:type="dxa"/>
            <w:vAlign w:val="bottom"/>
            <w:gridSpan w:val="2"/>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4"/>
                <w:szCs w:val="14"/>
                <w:color w:val="auto"/>
              </w:rPr>
            </w:pPr>
          </w:p>
        </w:tc>
      </w:tr>
      <w:tr>
        <w:trPr>
          <w:trHeight w:val="22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1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94</w:t>
            </w:r>
          </w:p>
        </w:tc>
        <w:tc>
          <w:tcPr>
            <w:tcW w:w="128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93</w:t>
            </w:r>
          </w:p>
        </w:tc>
      </w:tr>
      <w:tr>
        <w:trPr>
          <w:trHeight w:val="234"/>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267</w:t>
            </w:r>
          </w:p>
        </w:tc>
        <w:tc>
          <w:tcPr>
            <w:tcW w:w="128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w:t>
            </w:r>
          </w:p>
        </w:tc>
      </w:tr>
      <w:tr>
        <w:trPr>
          <w:trHeight w:val="332"/>
        </w:trPr>
        <w:tc>
          <w:tcPr>
            <w:tcW w:w="7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Significant non-cash investing and financing activities are summarized as follows:</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8"/>
        </w:trPr>
        <w:tc>
          <w:tcPr>
            <w:tcW w:w="7740" w:type="dxa"/>
            <w:vAlign w:val="bottom"/>
          </w:tcPr>
          <w:p>
            <w:pPr>
              <w:spacing w:after="0"/>
              <w:rPr>
                <w:sz w:val="24"/>
                <w:szCs w:val="24"/>
                <w:color w:val="auto"/>
              </w:rPr>
            </w:pPr>
          </w:p>
        </w:tc>
        <w:tc>
          <w:tcPr>
            <w:tcW w:w="2940" w:type="dxa"/>
            <w:vAlign w:val="bottom"/>
            <w:tcBorders>
              <w:bottom w:val="single" w:sz="8" w:color="auto"/>
            </w:tcBorders>
            <w:gridSpan w:val="4"/>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560" w:type="dxa"/>
            <w:vAlign w:val="bottom"/>
            <w:tcBorders>
              <w:bottom w:val="single" w:sz="8" w:color="auto"/>
            </w:tcBorders>
          </w:tcPr>
          <w:p>
            <w:pPr>
              <w:spacing w:after="0"/>
              <w:rPr>
                <w:sz w:val="24"/>
                <w:szCs w:val="24"/>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payables issued for agency acquisitions and purchased customer accounts</w:t>
            </w:r>
          </w:p>
        </w:tc>
        <w:tc>
          <w:tcPr>
            <w:tcW w:w="110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gridSpan w:val="2"/>
            <w:shd w:val="clear" w:color="auto" w:fill="CFF0FC"/>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Estimated acquisition earn-out payables issued for agency acquisitions</w:t>
            </w:r>
          </w:p>
        </w:tc>
        <w:tc>
          <w:tcPr>
            <w:tcW w:w="1100" w:type="dxa"/>
            <w:vAlign w:val="bottom"/>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c>
          <w:tcPr>
            <w:tcW w:w="1280" w:type="dxa"/>
            <w:vAlign w:val="bottom"/>
            <w:gridSpan w:val="2"/>
          </w:tcPr>
          <w:p>
            <w:pPr>
              <w:jc w:val="right"/>
              <w:ind w:right="9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w:t>
            </w:r>
          </w:p>
        </w:tc>
      </w:tr>
      <w:tr>
        <w:trPr>
          <w:trHeight w:val="656"/>
        </w:trPr>
        <w:tc>
          <w:tcPr>
            <w:tcW w:w="77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19</w:t>
            </w: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62"/>
        </w:trPr>
        <w:tc>
          <w:tcPr>
            <w:tcW w:w="7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9" w:name="page20"/>
    <w:bookmarkEnd w:id="19"/>
    <w:p>
      <w:pPr>
        <w:ind w:right="180" w:firstLine="494"/>
        <w:spacing w:after="0" w:line="312" w:lineRule="auto"/>
        <w:rPr>
          <w:sz w:val="20"/>
          <w:szCs w:val="20"/>
          <w:color w:val="auto"/>
        </w:rPr>
      </w:pPr>
      <w:r>
        <w:rPr>
          <w:rFonts w:ascii="Times New Roman" w:cs="Times New Roman" w:eastAsia="Times New Roman" w:hAnsi="Times New Roman"/>
          <w:sz w:val="17"/>
          <w:szCs w:val="17"/>
          <w:color w:val="auto"/>
        </w:rPr>
        <w:t>The Company's restricted cash balance is composed of funds held in separate premium trust accounts as required by state law or, in some cases, by agreement with carrier partners. The following is a reconciliation of cash and cash equivalents inclusive of restricted cash as of June 30, 2024 and 2023.</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Table to reconcile restricted and non-restricted fiduciary cash</w:t>
            </w:r>
          </w:p>
        </w:tc>
        <w:tc>
          <w:tcPr>
            <w:tcW w:w="114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fiduciary cash</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0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Non-restricted fiduciary cash</w:t>
            </w:r>
          </w:p>
        </w:tc>
        <w:tc>
          <w:tcPr>
            <w:tcW w:w="1140" w:type="dxa"/>
            <w:vAlign w:val="bottom"/>
            <w:tcBorders>
              <w:bottom w:val="single" w:sz="8" w:color="auto"/>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restricted and non-restricted fiduciary cash at the end of the period</w:t>
            </w:r>
          </w:p>
        </w:tc>
        <w:tc>
          <w:tcPr>
            <w:tcW w:w="1140" w:type="dxa"/>
            <w:vAlign w:val="bottom"/>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5853430</wp:posOffset>
            </wp:positionH>
            <wp:positionV relativeFrom="paragraph">
              <wp:posOffset>-187960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100" w:firstLine="494"/>
        <w:spacing w:after="0" w:line="281" w:lineRule="auto"/>
        <w:rPr>
          <w:sz w:val="20"/>
          <w:szCs w:val="20"/>
          <w:color w:val="auto"/>
        </w:rPr>
      </w:pPr>
      <w:r>
        <w:rPr>
          <w:rFonts w:ascii="Times New Roman" w:cs="Times New Roman" w:eastAsia="Times New Roman" w:hAnsi="Times New Roman"/>
          <w:sz w:val="18"/>
          <w:szCs w:val="18"/>
          <w:color w:val="auto"/>
        </w:rPr>
        <w:t>The Company's fiduciary cash increased as of June 30, 2024 compared to December 31, 2023 due to growth in the business, normal seasonality and acquisition activity during 2024.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Balance as of June 30,</w:t>
            </w:r>
          </w:p>
        </w:tc>
        <w:tc>
          <w:tcPr>
            <w:tcW w:w="1080" w:type="dxa"/>
            <w:vAlign w:val="bottom"/>
            <w:tcBorders>
              <w:bottom w:val="single" w:sz="8" w:color="auto"/>
            </w:tcBorders>
          </w:tcPr>
          <w:p>
            <w:pPr>
              <w:spacing w:after="0"/>
              <w:rPr>
                <w:sz w:val="16"/>
                <w:szCs w:val="16"/>
                <w:color w:val="auto"/>
              </w:rPr>
            </w:pP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Table to reconcile cash and cash equivalents inclusive of fiduciary cash</w:t>
            </w: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1,107</w:t>
            </w:r>
          </w:p>
        </w:tc>
        <w:tc>
          <w:tcPr>
            <w:tcW w:w="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628</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Fiduciary cash</w:t>
            </w:r>
          </w:p>
        </w:tc>
        <w:tc>
          <w:tcPr>
            <w:tcW w:w="36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1,867</w:t>
            </w:r>
          </w:p>
        </w:tc>
        <w:tc>
          <w:tcPr>
            <w:tcW w:w="18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1,635</w:t>
            </w: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and cash equivalents inclusive of restricted cash at the end of the period</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2,974</w:t>
            </w:r>
          </w:p>
        </w:tc>
        <w:tc>
          <w:tcPr>
            <w:tcW w:w="7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2,263</w:t>
            </w:r>
          </w:p>
        </w:tc>
      </w:tr>
      <w:tr>
        <w:trPr>
          <w:trHeight w:val="20"/>
        </w:trPr>
        <w:tc>
          <w:tcPr>
            <w:tcW w:w="77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-187960</wp:posOffset>
            </wp:positionV>
            <wp:extent cx="11112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Legal and Regulatory Proceedings</w:t>
      </w:r>
    </w:p>
    <w:p>
      <w:pPr>
        <w:spacing w:after="0" w:line="121" w:lineRule="exact"/>
        <w:rPr>
          <w:sz w:val="20"/>
          <w:szCs w:val="20"/>
          <w:color w:val="auto"/>
        </w:rPr>
      </w:pPr>
    </w:p>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The Company is involved in numerous pending or threatened proceedings by or against Brown &amp; Brown, Inc. or one or more of its subsidiaries that arise in the ordinary course of business. The damages that may be claimed against the Company in these various proceedings are in some cases substantial, including in certain instances claims for punitive or extraordinary damages. Some of these claims and lawsuits have been resolved; others are in the process of being resolved and others are still in the investigation or discovery phase. The Company will continue to respond appropriately to these claims and lawsuits and to vigorously protect its interests.</w:t>
      </w:r>
    </w:p>
    <w:p>
      <w:pPr>
        <w:spacing w:after="0" w:line="74" w:lineRule="exact"/>
        <w:rPr>
          <w:sz w:val="20"/>
          <w:szCs w:val="20"/>
          <w:color w:val="auto"/>
        </w:rPr>
      </w:pPr>
    </w:p>
    <w:p>
      <w:pPr>
        <w:ind w:right="100" w:firstLine="494"/>
        <w:spacing w:after="0" w:line="254" w:lineRule="auto"/>
        <w:rPr>
          <w:sz w:val="20"/>
          <w:szCs w:val="20"/>
          <w:color w:val="auto"/>
        </w:rPr>
      </w:pPr>
      <w:r>
        <w:rPr>
          <w:rFonts w:ascii="Times New Roman" w:cs="Times New Roman" w:eastAsia="Times New Roman" w:hAnsi="Times New Roman"/>
          <w:sz w:val="18"/>
          <w:szCs w:val="18"/>
          <w:color w:val="auto"/>
        </w:rPr>
        <w:t>The Company continues to assess certain litigation and claims to determine the amounts, if any, that management believes will be paid as a result of such claims and litigation and, therefore, additional losses may be accrued and paid in the future, which could adversely impact the Company’s operating results, cash flows and overall liquidity. The Company maintains third-party insurance policies to provide coverage for certain legal claims, in an effort to mitigate its overall exposure to unanticipated claims or adverse decisions. However, as (i) one or more of the Company’s insurance carriers could take the position that portions of these claims are not covered by the Company’s insurance, (ii) to the extent that payments are made to resolve claims and lawsuits, applicable insurance policy limits are eroded and (iii) the claims and lawsuits relating to these matters are continuing to develop, it is possible that future results of operations or cash flows for any particular quarterly or annual period could be materially affected by unfavorable resolutions of these matters. Based upon the AM Best Company ratings of these third-party insurers and other factors, management does not believe there is a substantial risk of an insurer’s material non-performance related to any current insured claims.</w:t>
      </w:r>
    </w:p>
    <w:p>
      <w:pPr>
        <w:spacing w:after="0" w:line="78" w:lineRule="exact"/>
        <w:rPr>
          <w:sz w:val="20"/>
          <w:szCs w:val="20"/>
          <w:color w:val="auto"/>
        </w:rPr>
      </w:pPr>
    </w:p>
    <w:p>
      <w:pPr>
        <w:ind w:right="140" w:firstLine="494"/>
        <w:spacing w:after="0" w:line="265" w:lineRule="auto"/>
        <w:rPr>
          <w:sz w:val="20"/>
          <w:szCs w:val="20"/>
          <w:color w:val="auto"/>
        </w:rPr>
      </w:pPr>
      <w:r>
        <w:rPr>
          <w:rFonts w:ascii="Times New Roman" w:cs="Times New Roman" w:eastAsia="Times New Roman" w:hAnsi="Times New Roman"/>
          <w:sz w:val="18"/>
          <w:szCs w:val="18"/>
          <w:color w:val="auto"/>
        </w:rPr>
        <w:t>On the basis of current information, the availability of insurance and legal advice, in management’s opinion, the Company is not currently involved in any legal proceedings which, individually or in the aggregate, would have a material adverse effect on its financial condition, operations and/or cash flows.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121" w:lineRule="exact"/>
        <w:rPr>
          <w:sz w:val="20"/>
          <w:szCs w:val="20"/>
          <w:color w:val="auto"/>
        </w:rPr>
      </w:pPr>
    </w:p>
    <w:p>
      <w:pPr>
        <w:ind w:right="40" w:firstLine="494"/>
        <w:spacing w:after="0" w:line="255" w:lineRule="auto"/>
        <w:rPr>
          <w:sz w:val="20"/>
          <w:szCs w:val="20"/>
          <w:color w:val="auto"/>
        </w:rPr>
      </w:pPr>
      <w:r>
        <w:rPr>
          <w:rFonts w:ascii="Times New Roman" w:cs="Times New Roman" w:eastAsia="Times New Roman" w:hAnsi="Times New Roman"/>
          <w:sz w:val="18"/>
          <w:szCs w:val="18"/>
          <w:color w:val="auto"/>
        </w:rPr>
        <w:t>Brown &amp; Brown’s business is divided into three reportable segments: (i) the Retail segment, which provides a broad range of insurance products and services to commercial, public and quasi-public entities, and to professional and individual customers, and non-insurance risk-mitigating products through our F&amp;I businesses; (ii) the Programs segment, which primarily act as MGUs, provides professional liability and related package products for certain professionals, a range of insurance products for individuals, flood coverage, and targeted products and services designated for specific industries, trade groups, governmental entities and market niches, all of which are delivered through nationwide networks of independent agents, and Brown &amp; Brown retail agents; and (iii) the Wholesale Brokerage segment, which markets and sells excess and surplus commercial and personal lines insurance, primarily through independent agents and brokers, as well as Brown &amp; Brown retail agents.</w:t>
      </w:r>
    </w:p>
    <w:p>
      <w:pPr>
        <w:spacing w:after="0" w:line="79" w:lineRule="exact"/>
        <w:rPr>
          <w:sz w:val="20"/>
          <w:szCs w:val="20"/>
          <w:color w:val="auto"/>
        </w:rPr>
      </w:pPr>
    </w:p>
    <w:p>
      <w:pPr>
        <w:ind w:right="100" w:firstLine="494"/>
        <w:spacing w:after="0" w:line="260" w:lineRule="auto"/>
        <w:rPr>
          <w:sz w:val="20"/>
          <w:szCs w:val="20"/>
          <w:color w:val="auto"/>
        </w:rPr>
      </w:pPr>
      <w:r>
        <w:rPr>
          <w:rFonts w:ascii="Times New Roman" w:cs="Times New Roman" w:eastAsia="Times New Roman" w:hAnsi="Times New Roman"/>
          <w:sz w:val="18"/>
          <w:szCs w:val="18"/>
          <w:color w:val="auto"/>
        </w:rPr>
        <w:t>Brown &amp; Brown conducts most of its operations within the United States of America. International operations include retail operations based in Bermuda, Canada, Cayman Islands, Republic of Ireland and the United Kingdom, managing general underwriter operations in Canada, France, Germany, Hong Kong, Italy, Malaysia, the Netherlands, United Arab Emirates and the United Kingdom and wholesale brokerage operations based in Belgium, Hong Kong, Italy and the United Kingdom. These operations earned $172 million and $129 million of total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0" w:name="page21"/>
    <w:bookmarkEnd w:id="20"/>
    <w:p>
      <w:pPr>
        <w:ind w:right="80"/>
        <w:spacing w:after="0" w:line="281" w:lineRule="auto"/>
        <w:rPr>
          <w:sz w:val="20"/>
          <w:szCs w:val="20"/>
          <w:color w:val="auto"/>
        </w:rPr>
      </w:pPr>
      <w:r>
        <w:rPr>
          <w:rFonts w:ascii="Times New Roman" w:cs="Times New Roman" w:eastAsia="Times New Roman" w:hAnsi="Times New Roman"/>
          <w:sz w:val="18"/>
          <w:szCs w:val="18"/>
          <w:color w:val="auto"/>
        </w:rPr>
        <w:t>revenues for the three months ended June 30, 2024 and 2023, respectively. These operations earned $330 million and $247 million of total revenues for the six months ended June 30, 2024 and 2023, respectively.</w:t>
      </w:r>
    </w:p>
    <w:p>
      <w:pPr>
        <w:spacing w:after="0" w:line="55" w:lineRule="exact"/>
        <w:rPr>
          <w:sz w:val="20"/>
          <w:szCs w:val="20"/>
          <w:color w:val="auto"/>
        </w:rPr>
      </w:pPr>
    </w:p>
    <w:p>
      <w:pPr>
        <w:ind w:right="40" w:firstLine="494"/>
        <w:spacing w:after="0" w:line="281" w:lineRule="auto"/>
        <w:rPr>
          <w:sz w:val="20"/>
          <w:szCs w:val="20"/>
          <w:color w:val="auto"/>
        </w:rPr>
      </w:pPr>
      <w:r>
        <w:rPr>
          <w:rFonts w:ascii="Times New Roman" w:cs="Times New Roman" w:eastAsia="Times New Roman" w:hAnsi="Times New Roman"/>
          <w:sz w:val="18"/>
          <w:szCs w:val="18"/>
          <w:color w:val="auto"/>
        </w:rPr>
        <w:t>The accounting policies of the reportable segments are the same as those described in Note 1 of the Company’s Annual Report on Form 10-K for the year ended December 31, 2023. Intersegment revenues are eliminated.</w:t>
      </w:r>
    </w:p>
    <w:p>
      <w:pPr>
        <w:spacing w:after="0" w:line="55" w:lineRule="exact"/>
        <w:rPr>
          <w:sz w:val="20"/>
          <w:szCs w:val="20"/>
          <w:color w:val="auto"/>
        </w:rPr>
      </w:pPr>
    </w:p>
    <w:p>
      <w:pPr>
        <w:ind w:right="80" w:firstLine="494"/>
        <w:spacing w:after="0" w:line="265" w:lineRule="auto"/>
        <w:rPr>
          <w:sz w:val="20"/>
          <w:szCs w:val="20"/>
          <w:color w:val="auto"/>
        </w:rPr>
      </w:pPr>
      <w:r>
        <w:rPr>
          <w:rFonts w:ascii="Times New Roman" w:cs="Times New Roman" w:eastAsia="Times New Roman" w:hAnsi="Times New Roman"/>
          <w:sz w:val="18"/>
          <w:szCs w:val="18"/>
          <w:color w:val="auto"/>
        </w:rPr>
        <w:t>Summarized financial information concerning the Company’s reportable segments is shown in the following tables. The “Other” column includes any income and expenses not allocated to reportable segments, corporate-related items, including the intercompany interest expense charge to the reporting segment.</w:t>
      </w:r>
    </w:p>
    <w:p>
      <w:pPr>
        <w:spacing w:after="0" w:line="69" w:lineRule="exact"/>
        <w:rPr>
          <w:sz w:val="20"/>
          <w:szCs w:val="20"/>
          <w:color w:val="auto"/>
        </w:rPr>
      </w:pPr>
    </w:p>
    <w:p>
      <w:pPr>
        <w:ind w:right="120" w:firstLine="494"/>
        <w:spacing w:after="0" w:line="260" w:lineRule="auto"/>
        <w:rPr>
          <w:sz w:val="20"/>
          <w:szCs w:val="20"/>
          <w:color w:val="auto"/>
        </w:rPr>
      </w:pPr>
      <w:r>
        <w:rPr>
          <w:rFonts w:ascii="Times New Roman" w:cs="Times New Roman" w:eastAsia="Times New Roman" w:hAnsi="Times New Roman"/>
          <w:sz w:val="18"/>
          <w:szCs w:val="18"/>
          <w:color w:val="auto"/>
        </w:rPr>
        <w:t>In the fourth quarter of 2023, the Company sold certain third-party claims administration and adjusting services businesses representing approximately 50% of the total revenues of the Services segment. As a result, beginning in fiscal year 2024, the Company operates three segments: Retail, Programs (formerly National Programs) and Wholesale Brokerage. Balances presented for the three and six months ended June 30, 2023 have been recast to align with the three-segment structure.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6"/>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Three months ended June 30, 2024</w:t>
            </w:r>
          </w:p>
        </w:tc>
        <w:tc>
          <w:tcPr>
            <w:tcW w:w="3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4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2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shd w:val="clear" w:color="auto" w:fill="CFF0FC"/>
          </w:tcPr>
          <w:p>
            <w:pPr>
              <w:spacing w:after="0"/>
              <w:rPr>
                <w:sz w:val="20"/>
                <w:szCs w:val="20"/>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1"/>
                <w:szCs w:val="2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1"/>
                <w:szCs w:val="2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100" w:type="dxa"/>
            <w:vAlign w:val="bottom"/>
            <w:shd w:val="clear" w:color="auto" w:fill="CFF0FC"/>
          </w:tcPr>
          <w:p>
            <w:pPr>
              <w:spacing w:after="0"/>
              <w:rPr>
                <w:sz w:val="21"/>
                <w:szCs w:val="2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r>
      <w:tr>
        <w:trPr>
          <w:trHeight w:val="427"/>
        </w:trPr>
        <w:tc>
          <w:tcPr>
            <w:tcW w:w="4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Three months ended June 30, 2023</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4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2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shd w:val="clear" w:color="auto" w:fill="CFF0FC"/>
          </w:tcPr>
          <w:p>
            <w:pPr>
              <w:spacing w:after="0"/>
              <w:rPr>
                <w:sz w:val="20"/>
                <w:szCs w:val="20"/>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21"/>
                <w:szCs w:val="2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21"/>
                <w:szCs w:val="2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100" w:type="dxa"/>
            <w:vAlign w:val="bottom"/>
            <w:shd w:val="clear" w:color="auto" w:fill="CFF0FC"/>
          </w:tcPr>
          <w:p>
            <w:pPr>
              <w:spacing w:after="0"/>
              <w:rPr>
                <w:sz w:val="21"/>
                <w:szCs w:val="2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427"/>
        </w:trPr>
        <w:tc>
          <w:tcPr>
            <w:tcW w:w="4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4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2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shd w:val="clear" w:color="auto" w:fill="CFF0FC"/>
          </w:tcPr>
          <w:p>
            <w:pPr>
              <w:spacing w:after="0"/>
              <w:rPr>
                <w:sz w:val="20"/>
                <w:szCs w:val="20"/>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FF0FC"/>
          </w:tcPr>
          <w:p>
            <w:pPr>
              <w:spacing w:after="0"/>
              <w:rPr>
                <w:sz w:val="21"/>
                <w:szCs w:val="2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FF0FC"/>
          </w:tcPr>
          <w:p>
            <w:pPr>
              <w:spacing w:after="0"/>
              <w:rPr>
                <w:sz w:val="21"/>
                <w:szCs w:val="2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100" w:type="dxa"/>
            <w:vAlign w:val="bottom"/>
            <w:shd w:val="clear" w:color="auto" w:fill="CFF0FC"/>
          </w:tcPr>
          <w:p>
            <w:pPr>
              <w:spacing w:after="0"/>
              <w:rPr>
                <w:sz w:val="21"/>
                <w:szCs w:val="2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0"/>
                <w:szCs w:val="20"/>
                <w:color w:val="auto"/>
              </w:rPr>
            </w:pPr>
          </w:p>
        </w:tc>
      </w:tr>
      <w:tr>
        <w:trPr>
          <w:trHeight w:val="427"/>
        </w:trPr>
        <w:tc>
          <w:tcPr>
            <w:tcW w:w="4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6"/>
          </w:tcPr>
          <w:p>
            <w:pPr>
              <w:jc w:val="center"/>
              <w:ind w:left="34"/>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31"/>
        </w:trPr>
        <w:tc>
          <w:tcPr>
            <w:tcW w:w="4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jc w:val="right"/>
              <w:ind w:right="134"/>
              <w:spacing w:after="0" w:line="131"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87"/>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24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r>
      <w:tr>
        <w:trPr>
          <w:trHeight w:val="236"/>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shd w:val="clear" w:color="auto" w:fill="CFF0FC"/>
          </w:tcPr>
          <w:p>
            <w:pPr>
              <w:spacing w:after="0"/>
              <w:rPr>
                <w:sz w:val="20"/>
                <w:szCs w:val="20"/>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1"/>
                <w:szCs w:val="2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21"/>
                <w:szCs w:val="21"/>
                <w:color w:val="auto"/>
              </w:rPr>
            </w:pPr>
          </w:p>
        </w:tc>
      </w:tr>
      <w:tr>
        <w:trPr>
          <w:trHeight w:val="238"/>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(40 )</w:t>
            </w: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20"/>
                <w:szCs w:val="20"/>
                <w:color w:val="auto"/>
              </w:rPr>
            </w:pPr>
          </w:p>
        </w:tc>
      </w:tr>
      <w:tr>
        <w:trPr>
          <w:trHeight w:val="247"/>
        </w:trPr>
        <w:tc>
          <w:tcPr>
            <w:tcW w:w="4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2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2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100" w:type="dxa"/>
            <w:vAlign w:val="bottom"/>
            <w:shd w:val="clear" w:color="auto" w:fill="CFF0FC"/>
          </w:tcPr>
          <w:p>
            <w:pPr>
              <w:spacing w:after="0"/>
              <w:rPr>
                <w:sz w:val="21"/>
                <w:szCs w:val="21"/>
                <w:color w:val="auto"/>
              </w:rPr>
            </w:pP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r>
      <w:tr>
        <w:trPr>
          <w:trHeight w:val="656"/>
        </w:trPr>
        <w:tc>
          <w:tcPr>
            <w:tcW w:w="4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978"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NOTE 13 Insurance Company Subsidiary Operations</w:t>
      </w:r>
    </w:p>
    <w:p>
      <w:pPr>
        <w:spacing w:after="0" w:line="121" w:lineRule="exact"/>
        <w:rPr>
          <w:sz w:val="20"/>
          <w:szCs w:val="20"/>
          <w:color w:val="auto"/>
        </w:rPr>
      </w:pPr>
    </w:p>
    <w:p>
      <w:pPr>
        <w:ind w:right="20" w:firstLine="494"/>
        <w:spacing w:after="0" w:line="253" w:lineRule="auto"/>
        <w:rPr>
          <w:sz w:val="20"/>
          <w:szCs w:val="20"/>
          <w:color w:val="auto"/>
        </w:rPr>
      </w:pPr>
      <w:r>
        <w:rPr>
          <w:rFonts w:ascii="Times New Roman" w:cs="Times New Roman" w:eastAsia="Times New Roman" w:hAnsi="Times New Roman"/>
          <w:sz w:val="18"/>
          <w:szCs w:val="18"/>
          <w:color w:val="auto"/>
        </w:rPr>
        <w:t>The National Flood Insurance Program is a program administered by the Federal Emergency Management Agency (“FEMA”) whereby the Company sells and services NFIP flood insurance policies on behalf of FEMA and receives fees for its services. Congressional authorization for the NFIP is periodically evaluated and may be subject to potential government shutdowns. The Company sells excess flood policies which are 100% ceded to a highly rated reinsurance carrier. The Company also operates two Captives for the purpose of facilitating additional underwriting capacity and to participate in a portion of the underwriting results. One Captive participates on a quota share basis for policies placed by certain of our MGU businesses that are currently focused on property insurance for earthquake and wind exposed properties with a portion of premiums ceded to reinsurance companies, limiting, but not fully eliminating the Company's exposure to underwriting losses. The other Captive participates through excess of loss reinsurance layers associated with one of our MGU businesses focused on placements of personal property, excluding flood, primarily in the southeastern United States with one layer of per risk excess reinsurance and three layers of catastrophe ("CAT") per occurrence reinsurance. All four layers have limited reinstatements and therefore have capped, maximum aggregate limits. The effects of reinsurance on premiums written and earned are as follows: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4"/>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r>
      <w:tr>
        <w:trPr>
          <w:trHeight w:val="169"/>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Written</w:t>
            </w: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Earned</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Direct premiums - WNFIC</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475</w:t>
            </w:r>
          </w:p>
        </w:tc>
        <w:tc>
          <w:tcPr>
            <w:tcW w:w="50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453</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Ceded premiums - WNFIC</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(453 )</w:t>
            </w: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premiums - WNFIC</w:t>
            </w:r>
          </w:p>
        </w:tc>
        <w:tc>
          <w:tcPr>
            <w:tcW w:w="3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Assumed premiums - Quota share captive and excess of loss layer captive</w:t>
            </w:r>
          </w:p>
        </w:tc>
        <w:tc>
          <w:tcPr>
            <w:tcW w:w="32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67</w:t>
            </w:r>
          </w:p>
        </w:tc>
      </w:tr>
      <w:tr>
        <w:trPr>
          <w:trHeight w:val="24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Ceded premiums - Quota share captive</w:t>
            </w:r>
          </w:p>
        </w:tc>
        <w:tc>
          <w:tcPr>
            <w:tcW w:w="3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3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premiums - Quota share captive and excess of loss layer captive</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r>
      <w:tr>
        <w:trPr>
          <w:trHeight w:val="27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premiums - 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-667385</wp:posOffset>
            </wp:positionV>
            <wp:extent cx="11112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-350520</wp:posOffset>
            </wp:positionV>
            <wp:extent cx="11112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70" w:lineRule="exact"/>
        <w:rPr>
          <w:sz w:val="20"/>
          <w:szCs w:val="20"/>
          <w:color w:val="auto"/>
        </w:rPr>
      </w:pPr>
    </w:p>
    <w:p>
      <w:pPr>
        <w:ind w:right="240" w:firstLine="494"/>
        <w:spacing w:after="0" w:line="265" w:lineRule="auto"/>
        <w:rPr>
          <w:sz w:val="20"/>
          <w:szCs w:val="20"/>
          <w:color w:val="auto"/>
        </w:rPr>
      </w:pPr>
      <w:r>
        <w:rPr>
          <w:rFonts w:ascii="Times New Roman" w:cs="Times New Roman" w:eastAsia="Times New Roman" w:hAnsi="Times New Roman"/>
          <w:sz w:val="18"/>
          <w:szCs w:val="18"/>
          <w:color w:val="auto"/>
        </w:rPr>
        <w:t>All premiums written by the Company under NFIP are 100% ceded to FEMA, for which WNFIC received a 29.5% gross expense allowance from January 1, 2024 through June 30, 2024. For the same period, the Company ceded $473 million of written premiums to FEMA for NFIP policies and $2 million to highly rated carriers for excess flood policies.</w:t>
      </w:r>
    </w:p>
    <w:p>
      <w:pPr>
        <w:spacing w:after="0" w:line="69" w:lineRule="exact"/>
        <w:rPr>
          <w:sz w:val="20"/>
          <w:szCs w:val="20"/>
          <w:color w:val="auto"/>
        </w:rPr>
      </w:pPr>
    </w:p>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As of June 30, 2024 the Condensed Consolidated Balance Sheets contained reinsurance recoverable of $98 million and prepaid reinsurance premiums of $483 million, which are related to the WNFIC business. For flood policies, there was no change in the balance in the reserve for losses and loss adjustment expense net of reinsurance recoverable during the period January 1, 2024 through June 30, 2024, as the Company's direct premiums written were 100% ceded to two reinsurers. The balance of the reserve for losses and loss adjustment expense for the WNFIC, excluding related reinsurance recoverable, as of June 30, 2024 was $98 million.</w:t>
      </w:r>
    </w:p>
    <w:p>
      <w:pPr>
        <w:spacing w:after="0" w:line="74"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WNFIC maintains capital in excess of the minimum statutory amount of $8 million as required by regulatory authorities. The statutory capital and surplus of WNFIC was $42 million at June 30, 2024 and $39 million as of December 31, 2023. For the period from January 1, 2024 through June 30, 2024, WNFIC generated statutory net income of $9 million. For the period from January 1, 2023 through December 31, 2023, WNFIC generated statutory net income of $7 million. The maximum amount of ordinary dividends that WNFIC can pay in a rolling 12-month period is limited to the greater of 10% of statutory adjusted capital and surplus or 100% of adjusted net income. On June 10, 2024, WNFIC paid an ordinary dividend of $7 million. The dividend was declared and approved by the WNFIC Board of Directors on May 28, 2024. On April 28, 2023, WNFIC paid an ordinary dividend of $3 million. The dividend was declared and approved by the WNFIC Board of Directors by consent on March 17, 2023. The maximum dividend payout that may be made in 2024 and without prior approval is $7 million.</w:t>
      </w:r>
    </w:p>
    <w:p>
      <w:pPr>
        <w:spacing w:after="0" w:line="81" w:lineRule="exact"/>
        <w:rPr>
          <w:sz w:val="20"/>
          <w:szCs w:val="20"/>
          <w:color w:val="auto"/>
        </w:rPr>
      </w:pPr>
    </w:p>
    <w:p>
      <w:pPr>
        <w:ind w:right="40" w:firstLine="449"/>
        <w:spacing w:after="0" w:line="254" w:lineRule="auto"/>
        <w:rPr>
          <w:sz w:val="20"/>
          <w:szCs w:val="20"/>
          <w:color w:val="auto"/>
        </w:rPr>
      </w:pPr>
      <w:r>
        <w:rPr>
          <w:rFonts w:ascii="Times New Roman" w:cs="Times New Roman" w:eastAsia="Times New Roman" w:hAnsi="Times New Roman"/>
          <w:sz w:val="18"/>
          <w:szCs w:val="18"/>
          <w:color w:val="auto"/>
        </w:rPr>
        <w:t>In December 2021, the initial funding to capitalize the quota share Captive was $6 million. This capital in addition to earnings of $4 million through June 30, 2024 is considered at risk for loss. Assumed net written and net earned premiums for the quota share Captive for the three months ended June 30, 2024, were $106 million and $27 million, respectively. For six months ended June 30, 2024 and 2023, the ultimate loss expense inclusive of incurred but not reported ("IBNR") claims was $11 million, of which $3 million is related to the estimated insured losses with Hurricane Ian. As of June 30, 2024, reported insured losses associated with Hurricane Ian were $2 million. As of June 30, 2024, the Condensed Consolidated Balance Sheet contained deferred acquisitions costs of $63 million, reinsurance payable of $6 million and the reserve for losses and loss adjustment expense, excluding related reinsurance recoverable, was $7 million. The first collateral release was received in March 2024 and is based on an IBNR factor times earned premium compared to the current collateral balance.</w:t>
      </w:r>
    </w:p>
    <w:p>
      <w:pPr>
        <w:spacing w:after="0" w:line="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excess of loss layer Captive was renewed in June 2024 with underlying reinsurance treaties effective from June 1, 2024 through May 31,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Captive’s maximum aggregate annual underwriting exposure is $2 million.</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NOTE 14 Shareholders’ Equity</w:t>
      </w:r>
    </w:p>
    <w:p>
      <w:pPr>
        <w:spacing w:after="0" w:line="121" w:lineRule="exact"/>
        <w:rPr>
          <w:sz w:val="20"/>
          <w:szCs w:val="20"/>
          <w:color w:val="auto"/>
        </w:rPr>
      </w:pPr>
    </w:p>
    <w:p>
      <w:pPr>
        <w:ind w:right="120" w:firstLine="494"/>
        <w:spacing w:after="0" w:line="258" w:lineRule="auto"/>
        <w:rPr>
          <w:sz w:val="20"/>
          <w:szCs w:val="20"/>
          <w:color w:val="auto"/>
        </w:rPr>
      </w:pPr>
      <w:r>
        <w:rPr>
          <w:rFonts w:ascii="Times New Roman" w:cs="Times New Roman" w:eastAsia="Times New Roman" w:hAnsi="Times New Roman"/>
          <w:sz w:val="18"/>
          <w:szCs w:val="18"/>
          <w:color w:val="auto"/>
        </w:rPr>
        <w:t>Under the authorization from the Company’s Board of Directors, shares may be purchased from time to time, at the Company’s discretion and subject to the availability of stock, market conditions, the trading price of the stock, alternative uses for capital, the Company’s financial performance and other potential factors. These purchases may be carried out through open market purchases, block trades, accelerated share repurchase plans of up to $100 million each (unless otherwise approved by the Board of Directors), negotiated private transactions or pursuant to any trading plan that may be adopted in accordance with Rule 10b5-1 of the Securities Exchange Act of 1934.</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has outstanding approval to purchase up to approximately $249 million, in the aggregate, of the Company's outstanding common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98" w:lineRule="exact"/>
        <w:rPr>
          <w:sz w:val="20"/>
          <w:szCs w:val="20"/>
          <w:color w:val="auto"/>
        </w:rPr>
      </w:pPr>
    </w:p>
    <w:p>
      <w:pPr>
        <w:jc w:val="both"/>
        <w:ind w:firstLine="494"/>
        <w:spacing w:after="0" w:line="265" w:lineRule="auto"/>
        <w:rPr>
          <w:sz w:val="20"/>
          <w:szCs w:val="20"/>
          <w:color w:val="auto"/>
        </w:rPr>
      </w:pPr>
      <w:r>
        <w:rPr>
          <w:rFonts w:ascii="Times New Roman" w:cs="Times New Roman" w:eastAsia="Times New Roman" w:hAnsi="Times New Roman"/>
          <w:sz w:val="18"/>
          <w:szCs w:val="18"/>
          <w:color w:val="auto"/>
        </w:rPr>
        <w:t>During the first quarter, the Company paid a dividend of $0.1300 per share, which was approved by the Board of Directors on January 17, 2024 and paid on February 14, 2024 for a total of $38 million. During the second quarter, the Company paid a dividend of $0.1300 per share, which was approved by the Board of Directors on April 22, 2024 and paid on May 15, 2024 for a total of $37 million.</w:t>
      </w:r>
    </w:p>
    <w:p>
      <w:pPr>
        <w:spacing w:after="0" w:line="69" w:lineRule="exact"/>
        <w:rPr>
          <w:sz w:val="20"/>
          <w:szCs w:val="20"/>
          <w:color w:val="auto"/>
        </w:rPr>
      </w:pPr>
    </w:p>
    <w:p>
      <w:pPr>
        <w:ind w:right="80" w:firstLine="494"/>
        <w:spacing w:after="0" w:line="281" w:lineRule="auto"/>
        <w:rPr>
          <w:sz w:val="20"/>
          <w:szCs w:val="20"/>
          <w:color w:val="auto"/>
        </w:rPr>
      </w:pPr>
      <w:r>
        <w:rPr>
          <w:rFonts w:ascii="Times New Roman" w:cs="Times New Roman" w:eastAsia="Times New Roman" w:hAnsi="Times New Roman"/>
          <w:sz w:val="18"/>
          <w:szCs w:val="18"/>
          <w:color w:val="auto"/>
        </w:rPr>
        <w:t>On July 17, 2024 the Board of Directors approved a dividend of $0.1300 per share payable on August 14, 2024 to shareholders of record on August 7, 2024.</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first quarter of 2024 the Company received $5 million in exchange for a 49% interest in our quota-share captive.</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the first quarter of 2024, the Company paid $2 million to buy additional interest in an entity in which it was already the majority owner.</w:t>
      </w:r>
    </w:p>
    <w:p>
      <w:pPr>
        <w:spacing w:after="0" w:line="117" w:lineRule="exact"/>
        <w:rPr>
          <w:sz w:val="20"/>
          <w:szCs w:val="20"/>
          <w:color w:val="auto"/>
        </w:rPr>
      </w:pPr>
    </w:p>
    <w:p>
      <w:pPr>
        <w:ind w:right="680" w:firstLine="494"/>
        <w:spacing w:after="0" w:line="281" w:lineRule="auto"/>
        <w:rPr>
          <w:sz w:val="20"/>
          <w:szCs w:val="20"/>
          <w:color w:val="auto"/>
        </w:rPr>
      </w:pPr>
      <w:r>
        <w:rPr>
          <w:rFonts w:ascii="Times New Roman" w:cs="Times New Roman" w:eastAsia="Times New Roman" w:hAnsi="Times New Roman"/>
          <w:sz w:val="18"/>
          <w:szCs w:val="18"/>
          <w:color w:val="auto"/>
        </w:rPr>
        <w:t>The Company also has approximately $6 million of minority interest arising from consolidated acquisitions where the Company acquired a controlling majority ownership position with a residual noncontrolling ownership position held by unaffiliated entities.</w:t>
      </w:r>
    </w:p>
    <w:p>
      <w:pPr>
        <w:spacing w:after="0" w:line="200" w:lineRule="exact"/>
        <w:rPr>
          <w:sz w:val="20"/>
          <w:szCs w:val="20"/>
          <w:color w:val="auto"/>
        </w:rPr>
      </w:pPr>
    </w:p>
    <w:p>
      <w:pPr>
        <w:spacing w:after="0" w:line="2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6"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121" w:lineRule="exact"/>
        <w:rPr>
          <w:sz w:val="20"/>
          <w:szCs w:val="20"/>
          <w:color w:val="auto"/>
        </w:rPr>
      </w:pPr>
    </w:p>
    <w:p>
      <w:pPr>
        <w:ind w:right="360" w:firstLine="499"/>
        <w:spacing w:after="0" w:line="281" w:lineRule="auto"/>
        <w:rPr>
          <w:sz w:val="20"/>
          <w:szCs w:val="20"/>
          <w:color w:val="auto"/>
        </w:rPr>
      </w:pPr>
      <w:r>
        <w:rPr>
          <w:rFonts w:ascii="Times New Roman" w:cs="Times New Roman" w:eastAsia="Times New Roman" w:hAnsi="Times New Roman"/>
          <w:sz w:val="18"/>
          <w:szCs w:val="18"/>
          <w:color w:val="auto"/>
        </w:rPr>
        <w:t>The following discussion updates the Management’s Discussion and Analysis of Financial Condition and Results of Operations contained in the Company’s Annual Report on Form 10-K for the fiscal year ended December 31, 2023, and the two discussions should be read together.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 — Second Quarter of 2024</w:t>
      </w:r>
    </w:p>
    <w:p>
      <w:pPr>
        <w:spacing w:after="0" w:line="121" w:lineRule="exact"/>
        <w:rPr>
          <w:sz w:val="20"/>
          <w:szCs w:val="20"/>
          <w:color w:val="auto"/>
        </w:rPr>
      </w:pPr>
    </w:p>
    <w:p>
      <w:pPr>
        <w:ind w:right="380" w:firstLine="494"/>
        <w:spacing w:after="0" w:line="265"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Condensed Consolidated Financial Statements and the related Notes to those Financial Statements included elsewhere in this Quarterly Report on Form 10-Q. In addition, please see “Information Regarding Non-GAAP Financial Measures” below concerning important information on non-GAAP financial measures contained in our discussion and analysis.</w:t>
      </w:r>
    </w:p>
    <w:p>
      <w:pPr>
        <w:spacing w:after="0" w:line="69" w:lineRule="exact"/>
        <w:rPr>
          <w:sz w:val="20"/>
          <w:szCs w:val="20"/>
          <w:color w:val="auto"/>
        </w:rPr>
      </w:pPr>
    </w:p>
    <w:p>
      <w:pPr>
        <w:ind w:firstLine="499"/>
        <w:spacing w:after="0" w:line="253" w:lineRule="auto"/>
        <w:rPr>
          <w:sz w:val="20"/>
          <w:szCs w:val="20"/>
          <w:color w:val="auto"/>
        </w:rPr>
      </w:pPr>
      <w:r>
        <w:rPr>
          <w:rFonts w:ascii="Times New Roman" w:cs="Times New Roman" w:eastAsia="Times New Roman" w:hAnsi="Times New Roman"/>
          <w:sz w:val="18"/>
          <w:szCs w:val="18"/>
          <w:color w:val="auto"/>
        </w:rPr>
        <w:t>We are a diversified insurance agency, wholesale brokerage and insurance programs organization headquartered in Daytona Beach, Florida. As an insurance intermediary, our principal sources of revenue are commissions paid by insurance companies and, to a lesser extent, fees paid directly by customers. Commission revenues generally represent a percentage of the premium paid by an insured and are affected by fluctuations in both premium rate levels charged by insurance companies and the insureds’ underlying “insurable exposure units,” which are units that insurance companies use to measure or express insurance exposed to risk (such as property values, sales or payroll levels) to determine what premium to charge the insured. Insurance companies establish these premium rates based upon many factors, including loss experience, risk profile and reinsurance rates paid by such insurance companies, none of which we control. We also operate capitalized captive insurance facilities (the "Captives") for the purpose of having additional capacity to place coverage, drive additional revenues and to participate in underwriting results. The Captives focus on property insurance for earthquake and wind exposed properties underwritten by certain of our MGUs and limit the Company's exposure to claims expenses through reinsurance or by only participating in certain tranches of the underwriting.</w:t>
      </w:r>
    </w:p>
    <w:p>
      <w:pPr>
        <w:spacing w:after="0" w:line="83" w:lineRule="exact"/>
        <w:rPr>
          <w:sz w:val="20"/>
          <w:szCs w:val="20"/>
          <w:color w:val="auto"/>
        </w:rPr>
      </w:pPr>
    </w:p>
    <w:p>
      <w:pPr>
        <w:ind w:right="80" w:firstLine="499"/>
        <w:spacing w:after="0" w:line="274" w:lineRule="auto"/>
        <w:rPr>
          <w:sz w:val="20"/>
          <w:szCs w:val="20"/>
          <w:color w:val="auto"/>
        </w:rPr>
      </w:pPr>
      <w:r>
        <w:rPr>
          <w:rFonts w:ascii="Times New Roman" w:cs="Times New Roman" w:eastAsia="Times New Roman" w:hAnsi="Times New Roman"/>
          <w:sz w:val="17"/>
          <w:szCs w:val="17"/>
          <w:color w:val="auto"/>
        </w:rPr>
        <w:t>The volume of business from new and existing customers, fluctuations in insurable exposure units, changes in premium rate levels, changes in general economic and competitive conditions, a reduction of purchased limits, or the occurrence of catastrophic weather events all affect our revenues. For example, higher levels of inflation, an increase the value of insurable exposure units or a general decline in economic activity, could decrease the value or amount of insurable exposure units. Conversely, increasing costs of litigation settlements and/or awards could cause some customers to seek higher levels of insurance coverage. Historically, we have grown our revenues as a result of our focus on new business, customer retention and acquisitions. We foster a strong, decentralized sales and service culture, which enables responsiveness to changing business conditions and drives accountability for results.</w:t>
      </w:r>
    </w:p>
    <w:p>
      <w:pPr>
        <w:spacing w:after="0" w:line="63" w:lineRule="exact"/>
        <w:rPr>
          <w:sz w:val="20"/>
          <w:szCs w:val="20"/>
          <w:color w:val="auto"/>
        </w:rPr>
      </w:pPr>
    </w:p>
    <w:p>
      <w:pPr>
        <w:ind w:right="160" w:firstLine="499"/>
        <w:spacing w:after="0" w:line="258" w:lineRule="auto"/>
        <w:rPr>
          <w:sz w:val="20"/>
          <w:szCs w:val="20"/>
          <w:color w:val="auto"/>
        </w:rPr>
      </w:pPr>
      <w:r>
        <w:rPr>
          <w:rFonts w:ascii="Times New Roman" w:cs="Times New Roman" w:eastAsia="Times New Roman" w:hAnsi="Times New Roman"/>
          <w:sz w:val="18"/>
          <w:szCs w:val="18"/>
          <w:color w:val="auto"/>
        </w:rPr>
        <w:t>The term “core commissions and fees” excludes profit-sharing contingent commissions, and therefore represents the revenues earned directly from specific insurance policies sold, and specific fee-based services rendered. The net change in core commissions and fees reflects the aggregate changes attributable to: (i) net new and lost accounts; (ii) net changes in our customers’ exposure units, deductibles or insured limits; (iii) net changes in insurance premium rates or the commission rate paid to us by our carrier partners; (iv) the net change in fees paid to us by our customers and (v) any businesses acquired or disposed of.</w:t>
      </w:r>
    </w:p>
    <w:p>
      <w:pPr>
        <w:spacing w:after="0" w:line="74" w:lineRule="exact"/>
        <w:rPr>
          <w:sz w:val="20"/>
          <w:szCs w:val="20"/>
          <w:color w:val="auto"/>
        </w:rPr>
      </w:pPr>
    </w:p>
    <w:p>
      <w:pPr>
        <w:ind w:right="80" w:firstLine="499"/>
        <w:spacing w:after="0" w:line="255" w:lineRule="auto"/>
        <w:rPr>
          <w:sz w:val="20"/>
          <w:szCs w:val="20"/>
          <w:color w:val="auto"/>
        </w:rPr>
      </w:pPr>
      <w:r>
        <w:rPr>
          <w:rFonts w:ascii="Times New Roman" w:cs="Times New Roman" w:eastAsia="Times New Roman" w:hAnsi="Times New Roman"/>
          <w:sz w:val="18"/>
          <w:szCs w:val="18"/>
          <w:color w:val="auto"/>
        </w:rPr>
        <w:t>We also earn profit-sharing contingent commissions, which are commissions based primarily on underwriting results, but in select situations may reflect additional considerations for volume, growth and/or retention. These commissions, which are included in our commissions and fees in the Consolidated Statements of Income, are estimated and accrued throughout the year based on actual premiums written and knowledge, to the extent it is available, of losses incurred. Payments are primarily received in the first and second quarters of each subsequent year, based upon the aforementioned considerations for the prior year(s), but may differ from the amount estimated and accrued due to the lack of complete visibility regarding loss information until they are received. Over the last three years, profit-sharing contingent commissions have averaged approximately 3.3% of commissions and fees revenue.</w:t>
      </w:r>
    </w:p>
    <w:p>
      <w:pPr>
        <w:spacing w:after="0" w:line="79" w:lineRule="exact"/>
        <w:rPr>
          <w:sz w:val="20"/>
          <w:szCs w:val="20"/>
          <w:color w:val="auto"/>
        </w:rPr>
      </w:pPr>
    </w:p>
    <w:p>
      <w:pPr>
        <w:ind w:right="40" w:firstLine="499"/>
        <w:spacing w:after="0" w:line="256" w:lineRule="auto"/>
        <w:rPr>
          <w:sz w:val="20"/>
          <w:szCs w:val="20"/>
          <w:color w:val="auto"/>
        </w:rPr>
      </w:pPr>
      <w:r>
        <w:rPr>
          <w:rFonts w:ascii="Times New Roman" w:cs="Times New Roman" w:eastAsia="Times New Roman" w:hAnsi="Times New Roman"/>
          <w:sz w:val="18"/>
          <w:szCs w:val="18"/>
          <w:color w:val="auto"/>
        </w:rPr>
        <w:t>Fee revenues primarily relate to services other than securing coverage for our customers, and for fees negotiated in lieu of commissions. Fee revenues are generated by: (i) our Programs and Wholesale Brokerage segments, which earn fees primarily for the issuance of insurance policies on behalf of insurance carriers and (ii) our Retail segment in our large-account customer base, where we primarily earn fees for securing insurance for our customers, in our automobile dealer services (“F&amp;I”) businesses where we earn fees for assisting our customers with creating and selling warranty and service risk management programs and fees for Medicare Set-aside services, Social Security disability services and Medicare benefits advocacy services. Fee revenues as a percentage of our total commissions and fees, were 23.9% in 2023 and 25.8% in 2022.</w:t>
      </w:r>
    </w:p>
    <w:p>
      <w:pPr>
        <w:spacing w:after="0" w:line="78" w:lineRule="exact"/>
        <w:rPr>
          <w:sz w:val="20"/>
          <w:szCs w:val="20"/>
          <w:color w:val="auto"/>
        </w:rPr>
      </w:pPr>
    </w:p>
    <w:p>
      <w:pPr>
        <w:ind w:right="260" w:firstLine="494"/>
        <w:spacing w:after="0" w:line="281" w:lineRule="auto"/>
        <w:rPr>
          <w:sz w:val="20"/>
          <w:szCs w:val="20"/>
          <w:color w:val="auto"/>
        </w:rPr>
      </w:pPr>
      <w:r>
        <w:rPr>
          <w:rFonts w:ascii="Times New Roman" w:cs="Times New Roman" w:eastAsia="Times New Roman" w:hAnsi="Times New Roman"/>
          <w:sz w:val="18"/>
          <w:szCs w:val="18"/>
          <w:color w:val="auto"/>
        </w:rPr>
        <w:t>For the three months ended June 30, 2024, our total commissions and fees growth rate was 11.4%, and our consolidated Organic Revenue growth rate was 10.0%.</w:t>
      </w:r>
    </w:p>
    <w:p>
      <w:pPr>
        <w:spacing w:after="0" w:line="55" w:lineRule="exact"/>
        <w:rPr>
          <w:sz w:val="20"/>
          <w:szCs w:val="20"/>
          <w:color w:val="auto"/>
        </w:rPr>
      </w:pPr>
    </w:p>
    <w:p>
      <w:pPr>
        <w:ind w:right="160" w:firstLine="494"/>
        <w:spacing w:after="0" w:line="260" w:lineRule="auto"/>
        <w:rPr>
          <w:sz w:val="20"/>
          <w:szCs w:val="20"/>
          <w:color w:val="auto"/>
        </w:rPr>
      </w:pPr>
      <w:r>
        <w:rPr>
          <w:rFonts w:ascii="Times New Roman" w:cs="Times New Roman" w:eastAsia="Times New Roman" w:hAnsi="Times New Roman"/>
          <w:sz w:val="18"/>
          <w:szCs w:val="18"/>
          <w:color w:val="auto"/>
        </w:rPr>
        <w:t>Historically, investment income has consisted primarily of interest earnings on operating cash and where permitted, on premiums and advance premiums collected and held in a fiduciary capacity before being remitted to insurance companies. Our policy as it relates to the Company’s capital is to invest available funds in high-quality, short-term money-market funds and fixed income investment securities. Investment income also includes gains and losses realized from the sale of investments. Other income primarily reflects other miscellaneous revenues.</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6" w:right="359" w:bottom="1440" w:gutter="0" w:footer="0" w:header="0"/>
        </w:sectPr>
      </w:pPr>
    </w:p>
    <w:bookmarkStart w:id="24" w:name="page25"/>
    <w:bookmarkEnd w:id="24"/>
    <w:p>
      <w:pPr>
        <w:ind w:right="20" w:firstLine="494"/>
        <w:spacing w:after="0" w:line="265" w:lineRule="auto"/>
        <w:rPr>
          <w:sz w:val="20"/>
          <w:szCs w:val="20"/>
          <w:color w:val="auto"/>
        </w:rPr>
      </w:pPr>
      <w:r>
        <w:rPr>
          <w:rFonts w:ascii="Times New Roman" w:cs="Times New Roman" w:eastAsia="Times New Roman" w:hAnsi="Times New Roman"/>
          <w:sz w:val="18"/>
          <w:szCs w:val="18"/>
          <w:color w:val="auto"/>
        </w:rPr>
        <w:t>Income before income taxes for the three months ended June 30, 2024 increased from the second quarter of 2023 by $92 million or 36.2%, driven by net new business, increased investment income and profit-sharing contingent commissions, acquisitions completed in the past twelve months and the gain on disposal of certain businesses.</w:t>
      </w:r>
    </w:p>
    <w:p>
      <w:pPr>
        <w:spacing w:after="0" w:line="69" w:lineRule="exact"/>
        <w:rPr>
          <w:sz w:val="20"/>
          <w:szCs w:val="20"/>
          <w:color w:val="auto"/>
        </w:rPr>
      </w:pPr>
    </w:p>
    <w:p>
      <w:pPr>
        <w:ind w:right="80" w:firstLine="494"/>
        <w:spacing w:after="0" w:line="260" w:lineRule="auto"/>
        <w:rPr>
          <w:sz w:val="20"/>
          <w:szCs w:val="20"/>
          <w:color w:val="auto"/>
        </w:rPr>
      </w:pPr>
      <w:r>
        <w:rPr>
          <w:rFonts w:ascii="Times New Roman" w:cs="Times New Roman" w:eastAsia="Times New Roman" w:hAnsi="Times New Roman"/>
          <w:sz w:val="18"/>
          <w:szCs w:val="18"/>
          <w:color w:val="auto"/>
        </w:rPr>
        <w:t>Effective for fiscal year 2024, in conjunction with the divestiture of certain businesses within our Services segment in the fourth quarter of 2023, we aligned our business from four to three segments, and we now report our financial results in the following three reportable segments: Retail, Programs (formerly National Programs) and Wholesale Brokerage. See Note 12 of the Notes to Condensed Consolidated Financial Statements for further information.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Non-GAAP Financial Measures</w:t>
      </w:r>
    </w:p>
    <w:p>
      <w:pPr>
        <w:spacing w:after="0" w:line="121"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In the discussion and analysis of our results of operations, in addition to reporting financial results in accordance with generally accepted accounting principles (“GAAP”), we provide references to the following non-GAAP financial measures as defined in Regulation G of the SEC rules: Organic Revenue, EBITDAC, EBITDAC Margin, EBITDAC - Adjusted and EBITDAC Margin - Adjusted. We present these measures because we believe such information is of interest to the investment community and because we believe it provides additional meaningful methods to evaluate the Company’s operating performance from period to period on a basis that may not be otherwise apparent on a GAAP basis due to the impact of certain items that have a high degree of variability, that we believe are not indicative of ongoing performance and that are not easily comparable from period to period. This non-GAAP financial information should be considered in addition to, not in lieu of, the Company’s consolidated income statements and balance sheets as of the relevant date. Consistent with Regulation G, a description of such information is provided below and tabular reconciliations of this supplemental non-GAAP financial information to our most comparable GAAP information are contained in this Quarterly Report on Form 10-Q under “Results of Operations - Segment Information.”</w:t>
      </w:r>
    </w:p>
    <w:p>
      <w:pPr>
        <w:spacing w:after="0" w:line="83"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We view Organic Revenue and Organic Revenue growth as important indicators when assessing and evaluating our performance on a consolidated basis and for each of our three segments, because they allow us to determine a comparable, but non-GAAP, measurement of revenue growth that is associated with the revenue sources that were a part of our business in both the current and prior year and that are expected to continue in the future. We also view EBITDAC, EBITDAC - Adjusted, EBITDAC Margin and EBITDAC Margin - Adjusted as important indicators when assessing and evaluating our performance, as they present more comparable measurements of our operating margins in a meaningful and consistent manner. As disclosed in our most recent proxy statement, we use Organic Revenue growth, and EBITDAC Margin - Adjusted as key performance metrics for our short-term and long-term incentive compensation plans for executive officers and other key employees.</w:t>
      </w:r>
    </w:p>
    <w:p>
      <w:pPr>
        <w:spacing w:after="0" w:line="79" w:lineRule="exact"/>
        <w:rPr>
          <w:sz w:val="20"/>
          <w:szCs w:val="20"/>
          <w:color w:val="auto"/>
        </w:rPr>
      </w:pPr>
    </w:p>
    <w:p>
      <w:pPr>
        <w:ind w:right="240" w:firstLine="494"/>
        <w:spacing w:after="0" w:line="258" w:lineRule="auto"/>
        <w:rPr>
          <w:sz w:val="20"/>
          <w:szCs w:val="20"/>
          <w:color w:val="auto"/>
        </w:rPr>
      </w:pPr>
      <w:r>
        <w:rPr>
          <w:rFonts w:ascii="Times New Roman" w:cs="Times New Roman" w:eastAsia="Times New Roman" w:hAnsi="Times New Roman"/>
          <w:sz w:val="18"/>
          <w:szCs w:val="18"/>
          <w:color w:val="auto"/>
        </w:rPr>
        <w:t>Beginning January 1, 2024, we no longer exclude Foreign Currency Translation from the calculation of EBITDAC - Adjusted and EBITDAC Margin - Adjusted. Prior periods are presented accordingly on the same basis so that the calculations of EBITDAC - Adjusted and EBITDAC Margin - Adjusted are comparable for both periods. We no longer exclude Foreign Currency Translation from the calculation of these earnings measures because fluctuations in Foreign Currency Translation affect both our revenues and expenses, largely offsetting each other. Therefore, excluding Foreign Currency Translation from these earnings measures provides no meaningful incremental value in evaluating our financial performance.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Revenue Measures</w:t>
      </w:r>
    </w:p>
    <w:p>
      <w:pPr>
        <w:spacing w:after="0" w:line="117" w:lineRule="exact"/>
        <w:rPr>
          <w:sz w:val="20"/>
          <w:szCs w:val="20"/>
          <w:color w:val="auto"/>
        </w:rPr>
      </w:pPr>
    </w:p>
    <w:p>
      <w:pPr>
        <w:jc w:val="both"/>
        <w:ind w:left="1020" w:hanging="504"/>
        <w:spacing w:after="0" w:line="257"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Organic Revenue </w:t>
      </w:r>
      <w:r>
        <w:rPr>
          <w:rFonts w:ascii="Times New Roman" w:cs="Times New Roman" w:eastAsia="Times New Roman" w:hAnsi="Times New Roman"/>
          <w:sz w:val="18"/>
          <w:szCs w:val="18"/>
          <w:color w:val="auto"/>
        </w:rPr>
        <w:t>is our core commissions and fees less: (i) the core commissions and fees earned for the first twelve months by newly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acquired operations; (ii) divested business (core commissions and fees generated from offices, books of business or niches sold or terminated during the comparable period) and (iii) Foreign Currency Translation (as defined below). The term “core commissions and fees” excludes profit-sharing contingent commissions and therefore represents the revenues earned directly from specific insurance policies sold and specific fee-based services rendered. Organic Revenue can be expressed as a dollar amount or a percentage rate when describing Organic Revenue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Earnings Measures</w:t>
      </w:r>
    </w:p>
    <w:p>
      <w:pPr>
        <w:spacing w:after="0" w:line="117" w:lineRule="exact"/>
        <w:rPr>
          <w:sz w:val="20"/>
          <w:szCs w:val="20"/>
          <w:color w:val="auto"/>
        </w:rPr>
      </w:pPr>
    </w:p>
    <w:p>
      <w:pPr>
        <w:ind w:left="1020" w:hanging="504"/>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w:t>
      </w:r>
      <w:r>
        <w:rPr>
          <w:rFonts w:ascii="Times New Roman" w:cs="Times New Roman" w:eastAsia="Times New Roman" w:hAnsi="Times New Roman"/>
          <w:sz w:val="18"/>
          <w:szCs w:val="18"/>
          <w:color w:val="auto"/>
        </w:rPr>
        <w:t>is defined as income before interest, income taxes, depreciation, amortization and the change in estimated acquisition earn-out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payables.</w:t>
      </w:r>
    </w:p>
    <w:p>
      <w:pPr>
        <w:spacing w:after="0" w:line="4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w:t>
      </w:r>
      <w:r>
        <w:rPr>
          <w:rFonts w:ascii="Times New Roman" w:cs="Times New Roman" w:eastAsia="Times New Roman" w:hAnsi="Times New Roman"/>
          <w:sz w:val="18"/>
          <w:szCs w:val="18"/>
          <w:color w:val="auto"/>
        </w:rPr>
        <w:t>is defined as EBITDAC divided by total revenues.</w:t>
      </w:r>
    </w:p>
    <w:p>
      <w:pPr>
        <w:spacing w:after="0" w:line="116" w:lineRule="exact"/>
        <w:rPr>
          <w:rFonts w:ascii="Times New Roman" w:cs="Times New Roman" w:eastAsia="Times New Roman" w:hAnsi="Times New Roman"/>
          <w:sz w:val="18"/>
          <w:szCs w:val="18"/>
          <w:color w:val="auto"/>
        </w:rPr>
      </w:pPr>
    </w:p>
    <w:p>
      <w:pPr>
        <w:ind w:left="1020" w:hanging="504"/>
        <w:spacing w:after="0" w:line="28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 Adjusted </w:t>
      </w:r>
      <w:r>
        <w:rPr>
          <w:rFonts w:ascii="Times New Roman" w:cs="Times New Roman" w:eastAsia="Times New Roman" w:hAnsi="Times New Roman"/>
          <w:sz w:val="18"/>
          <w:szCs w:val="18"/>
          <w:color w:val="auto"/>
        </w:rPr>
        <w:t>is defined as EBITDAC, excluding (i) (gain)/loss on disposal, (ii) for 2022 and 2023, Acquisition/Integration Costs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defined below) and (iii) for 2023, the 1Q23 Nonrecurring Cost (as defined below).</w:t>
      </w:r>
    </w:p>
    <w:p>
      <w:pPr>
        <w:spacing w:after="0" w:line="4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EBITDAC Margin - Adjusted </w:t>
      </w:r>
      <w:r>
        <w:rPr>
          <w:rFonts w:ascii="Times New Roman" w:cs="Times New Roman" w:eastAsia="Times New Roman" w:hAnsi="Times New Roman"/>
          <w:sz w:val="18"/>
          <w:szCs w:val="18"/>
          <w:color w:val="auto"/>
        </w:rPr>
        <w:t>is defined as EBITDAC - Adjusted divided by total revenues.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 Related to Certain Components of Non-GAAP Measures</w:t>
      </w:r>
    </w:p>
    <w:p>
      <w:pPr>
        <w:spacing w:after="0" w:line="117" w:lineRule="exact"/>
        <w:rPr>
          <w:sz w:val="20"/>
          <w:szCs w:val="20"/>
          <w:color w:val="auto"/>
        </w:rPr>
      </w:pPr>
    </w:p>
    <w:p>
      <w:pPr>
        <w:ind w:left="1020" w:hanging="504"/>
        <w:spacing w:after="0" w:line="28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“Acquisition/Integration Costs” </w:t>
      </w:r>
      <w:r>
        <w:rPr>
          <w:rFonts w:ascii="Times New Roman" w:cs="Times New Roman" w:eastAsia="Times New Roman" w:hAnsi="Times New Roman"/>
          <w:sz w:val="18"/>
          <w:szCs w:val="18"/>
          <w:color w:val="auto"/>
        </w:rPr>
        <w:t>means the acquisition and integration costs (e.g., costs associated with regulatory filings, legal/accounting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due diligence and the costs of integrating our information technology systems) arising out of our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5" w:name="page26"/>
    <w:bookmarkEnd w:id="25"/>
    <w:p>
      <w:pPr>
        <w:ind w:left="1020"/>
        <w:spacing w:after="0" w:line="281" w:lineRule="auto"/>
        <w:rPr>
          <w:sz w:val="20"/>
          <w:szCs w:val="20"/>
          <w:color w:val="auto"/>
        </w:rPr>
      </w:pPr>
      <w:r>
        <w:rPr>
          <w:rFonts w:ascii="Times New Roman" w:cs="Times New Roman" w:eastAsia="Times New Roman" w:hAnsi="Times New Roman"/>
          <w:sz w:val="18"/>
          <w:szCs w:val="18"/>
          <w:color w:val="auto"/>
        </w:rPr>
        <w:t>acquisitions of GRP (Jersey) Holdco Limited and its business ("GRP"), Orchid Underwriters Agency and CrossCover Insurance Services, and BdB Limited companies, which are not considered to be normal, recurring or part of the ongoing operations.</w:t>
      </w:r>
    </w:p>
    <w:p>
      <w:pPr>
        <w:spacing w:after="0" w:line="51" w:lineRule="exact"/>
        <w:rPr>
          <w:sz w:val="20"/>
          <w:szCs w:val="20"/>
          <w:color w:val="auto"/>
        </w:rPr>
      </w:pPr>
    </w:p>
    <w:p>
      <w:pPr>
        <w:jc w:val="both"/>
        <w:ind w:left="1020" w:hanging="504"/>
        <w:spacing w:after="0" w:line="26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“Foreign Currency Translation” </w:t>
      </w:r>
      <w:r>
        <w:rPr>
          <w:rFonts w:ascii="Times New Roman" w:cs="Times New Roman" w:eastAsia="Times New Roman" w:hAnsi="Times New Roman"/>
          <w:sz w:val="18"/>
          <w:szCs w:val="18"/>
          <w:color w:val="auto"/>
        </w:rPr>
        <w:t>means the period-over period impact of foreign currency translation, which is calculated by applying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current-year foreign exchange rates to the various functional currencies in our business to our reporting currency of U.S. dollars for the same period in the prior year.</w:t>
      </w:r>
    </w:p>
    <w:p>
      <w:pPr>
        <w:spacing w:after="0" w:line="61" w:lineRule="exact"/>
        <w:rPr>
          <w:rFonts w:ascii="Times New Roman" w:cs="Times New Roman" w:eastAsia="Times New Roman" w:hAnsi="Times New Roman"/>
          <w:sz w:val="18"/>
          <w:szCs w:val="18"/>
          <w:color w:val="auto"/>
        </w:rPr>
      </w:pPr>
    </w:p>
    <w:p>
      <w:pPr>
        <w:ind w:left="1020" w:right="20" w:hanging="504"/>
        <w:spacing w:after="0" w:line="28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“1Q23 Nonrecurring Cost” </w:t>
      </w:r>
      <w:r>
        <w:rPr>
          <w:rFonts w:ascii="Times New Roman" w:cs="Times New Roman" w:eastAsia="Times New Roman" w:hAnsi="Times New Roman"/>
          <w:sz w:val="18"/>
          <w:szCs w:val="18"/>
          <w:color w:val="auto"/>
        </w:rPr>
        <w:t>means approximately $11.0 million expensed and substantially paid in the first quarter of 2023 to resolve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matter, which is not considered to be normal, recurring or part of the ongoing operations.</w:t>
      </w:r>
    </w:p>
    <w:p>
      <w:pPr>
        <w:spacing w:after="0" w:line="46" w:lineRule="exact"/>
        <w:rPr>
          <w:rFonts w:ascii="Times New Roman" w:cs="Times New Roman" w:eastAsia="Times New Roman" w:hAnsi="Times New Roman"/>
          <w:sz w:val="18"/>
          <w:szCs w:val="18"/>
          <w:color w:val="auto"/>
        </w:rPr>
      </w:pPr>
    </w:p>
    <w:p>
      <w:pPr>
        <w:ind w:left="1020" w:hanging="504"/>
        <w:spacing w:after="0" w:line="28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“(Gain)/loss on disposal” </w:t>
      </w:r>
      <w:r>
        <w:rPr>
          <w:rFonts w:ascii="Times New Roman" w:cs="Times New Roman" w:eastAsia="Times New Roman" w:hAnsi="Times New Roman"/>
          <w:sz w:val="18"/>
          <w:szCs w:val="18"/>
          <w:color w:val="auto"/>
        </w:rPr>
        <w:t>a caption on our consolidated statements of income which reflects net proceeds received as compared to net book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value related to sales of books of business and other divestiture transactions, such as the disposal of a business through sale or closure.</w:t>
      </w:r>
    </w:p>
    <w:p>
      <w:pPr>
        <w:spacing w:after="0" w:line="158"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Our industry peers may provide similar supplemental non-GAAP information with respect to one or more of these measures, although they may not use the same or comparable terminology and may not make identical adjustments and, therefore comparability may be limited. This supplemental non-GAAP financial information should be considered in addition to, and not in lieu of, the Company</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s Condensed Consolidated Financial Statements.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21" w:lineRule="exact"/>
        <w:rPr>
          <w:sz w:val="20"/>
          <w:szCs w:val="20"/>
          <w:color w:val="auto"/>
        </w:rPr>
      </w:pPr>
    </w:p>
    <w:p>
      <w:pPr>
        <w:ind w:right="180" w:firstLine="494"/>
        <w:spacing w:after="0" w:line="281" w:lineRule="auto"/>
        <w:rPr>
          <w:sz w:val="20"/>
          <w:szCs w:val="20"/>
          <w:color w:val="auto"/>
        </w:rPr>
      </w:pPr>
      <w:r>
        <w:rPr>
          <w:rFonts w:ascii="Times New Roman" w:cs="Times New Roman" w:eastAsia="Times New Roman" w:hAnsi="Times New Roman"/>
          <w:sz w:val="18"/>
          <w:szCs w:val="18"/>
          <w:color w:val="auto"/>
        </w:rPr>
        <w:t>Part of our business strategy is to attract high-quality insurance intermediaries and service organizations to join our operations. From 1993 through the second quarter of 2024, we acquired 660 insurance intermediary operations.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21" w:lineRule="exact"/>
        <w:rPr>
          <w:sz w:val="20"/>
          <w:szCs w:val="20"/>
          <w:color w:val="auto"/>
        </w:rPr>
      </w:pPr>
    </w:p>
    <w:p>
      <w:pPr>
        <w:ind w:right="60" w:firstLine="494"/>
        <w:spacing w:after="0" w:line="255" w:lineRule="auto"/>
        <w:rPr>
          <w:sz w:val="20"/>
          <w:szCs w:val="20"/>
          <w:color w:val="auto"/>
        </w:rPr>
      </w:pPr>
      <w:r>
        <w:rPr>
          <w:rFonts w:ascii="Times New Roman" w:cs="Times New Roman" w:eastAsia="Times New Roman" w:hAnsi="Times New Roman"/>
          <w:sz w:val="18"/>
          <w:szCs w:val="18"/>
          <w:color w:val="auto"/>
        </w:rPr>
        <w:t>We have had no changes to our Critical Accounting Policies as described in our most recent Form 10-K for the year ended December 31, 2023. We believe that of our significant accounting and reporting policies, the more critical policies include our accounting for revenue recognition, business combinations and purchase price allocations, intangible asset impairments, non-cash stock-based compensation and reserves for litigation. In particular, the accounting for these areas is subject to uncertainty because it requires significant use of judgment to be made by management. Different assumptions in the application of these policies could result in material changes in our consolidated financial position or consolidated results of operations. Refer to Note 1 in the “Notes to Consolidated Financial Statements” in our Annual Report on Form 10-K for the year ended December 31, 2023 for details regarding our critical and significant accounting policies.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AND SIX MONTHS ENDED JUNE 30, 2024 AND 2023</w:t>
      </w:r>
    </w:p>
    <w:p>
      <w:pPr>
        <w:spacing w:after="0" w:line="121" w:lineRule="exact"/>
        <w:rPr>
          <w:sz w:val="20"/>
          <w:szCs w:val="20"/>
          <w:color w:val="auto"/>
        </w:rPr>
      </w:pPr>
    </w:p>
    <w:p>
      <w:pPr>
        <w:ind w:right="300" w:firstLine="494"/>
        <w:spacing w:after="0" w:line="281" w:lineRule="auto"/>
        <w:rPr>
          <w:sz w:val="20"/>
          <w:szCs w:val="20"/>
          <w:color w:val="auto"/>
        </w:rPr>
      </w:pPr>
      <w:r>
        <w:rPr>
          <w:rFonts w:ascii="Times New Roman" w:cs="Times New Roman" w:eastAsia="Times New Roman" w:hAnsi="Times New Roman"/>
          <w:sz w:val="18"/>
          <w:szCs w:val="18"/>
          <w:color w:val="auto"/>
        </w:rPr>
        <w:t>The following discussion and analysis regarding results of operations and liquidity and capital resources should be considered in conjunction with the accompanying Condensed Consolidated Financial Statements and related Notes.</w:t>
      </w:r>
    </w:p>
    <w:p>
      <w:pPr>
        <w:spacing w:after="0" w:line="5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condensed consolidated financial results is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commissions and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11.5 %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10.7 %</w:t>
            </w:r>
          </w:p>
        </w:tc>
        <w:tc>
          <w:tcPr>
            <w:tcW w:w="0" w:type="dxa"/>
            <w:vAlign w:val="bottom"/>
          </w:tcPr>
          <w:p>
            <w:pPr>
              <w:spacing w:after="0"/>
              <w:rPr>
                <w:sz w:val="1"/>
                <w:szCs w:val="1"/>
                <w:color w:val="auto"/>
              </w:rPr>
            </w:pPr>
          </w:p>
        </w:tc>
      </w:tr>
      <w:tr>
        <w:trPr>
          <w:trHeight w:val="23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9.1 %</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120.0 %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135.3 %</w:t>
            </w:r>
          </w:p>
        </w:tc>
        <w:tc>
          <w:tcPr>
            <w:tcW w:w="0" w:type="dxa"/>
            <w:vAlign w:val="bottom"/>
          </w:tcPr>
          <w:p>
            <w:pPr>
              <w:spacing w:after="0"/>
              <w:rPr>
                <w:sz w:val="1"/>
                <w:szCs w:val="1"/>
                <w:color w:val="auto"/>
              </w:rPr>
            </w:pPr>
          </w:p>
        </w:tc>
      </w:tr>
      <w:tr>
        <w:trPr>
          <w:trHeight w:val="25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100.0 %</w:t>
            </w: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150.0 %</w:t>
            </w:r>
          </w:p>
        </w:tc>
        <w:tc>
          <w:tcPr>
            <w:tcW w:w="0" w:type="dxa"/>
            <w:vAlign w:val="bottom"/>
          </w:tcPr>
          <w:p>
            <w:pPr>
              <w:spacing w:after="0"/>
              <w:rPr>
                <w:sz w:val="1"/>
                <w:szCs w:val="1"/>
                <w:color w:val="auto"/>
              </w:rPr>
            </w:pPr>
          </w:p>
        </w:tc>
      </w:tr>
      <w:tr>
        <w:trPr>
          <w:trHeight w:val="232"/>
        </w:trPr>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12.5 %</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0" w:type="dxa"/>
            <w:vAlign w:val="bottom"/>
          </w:tcPr>
          <w:p>
            <w:pPr>
              <w:spacing w:after="0"/>
              <w:rPr>
                <w:sz w:val="1"/>
                <w:szCs w:val="1"/>
                <w:color w:val="auto"/>
              </w:rPr>
            </w:pPr>
          </w:p>
        </w:tc>
      </w:tr>
      <w:tr>
        <w:trPr>
          <w:trHeight w:val="247"/>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10.4 %</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3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6.8 %</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disposal</w:t>
            </w:r>
          </w:p>
        </w:tc>
        <w:tc>
          <w:tcPr>
            <w:tcW w:w="2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(31 )</w:t>
            </w:r>
          </w:p>
        </w:tc>
        <w:tc>
          <w:tcPr>
            <w:tcW w:w="240" w:type="dxa"/>
            <w:vAlign w:val="bottom"/>
          </w:tcPr>
          <w:p>
            <w:pPr>
              <w:spacing w:after="0"/>
              <w:rPr>
                <w:sz w:val="21"/>
                <w:szCs w:val="21"/>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NMF</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(29 )</w:t>
            </w:r>
          </w:p>
        </w:tc>
        <w:tc>
          <w:tcPr>
            <w:tcW w:w="2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spacing w:after="0"/>
              <w:rPr>
                <w:sz w:val="21"/>
                <w:szCs w:val="21"/>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2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acquisition</w:t>
            </w:r>
          </w:p>
        </w:tc>
        <w:tc>
          <w:tcPr>
            <w:tcW w:w="26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260" w:type="dxa"/>
            <w:vAlign w:val="bottom"/>
          </w:tcPr>
          <w:p>
            <w:pPr>
              <w:spacing w:after="0"/>
              <w:rPr>
                <w:sz w:val="19"/>
                <w:szCs w:val="19"/>
                <w:color w:val="auto"/>
              </w:rPr>
            </w:pPr>
          </w:p>
        </w:tc>
        <w:tc>
          <w:tcPr>
            <w:tcW w:w="120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earn-out payables</w:t>
            </w:r>
          </w:p>
        </w:tc>
        <w:tc>
          <w:tcPr>
            <w:tcW w:w="2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2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36"/>
        </w:trPr>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4.9 %</w:t>
            </w: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22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36.2 %</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29.9 %</w:t>
            </w:r>
          </w:p>
        </w:tc>
        <w:tc>
          <w:tcPr>
            <w:tcW w:w="0" w:type="dxa"/>
            <w:vAlign w:val="bottom"/>
          </w:tcPr>
          <w:p>
            <w:pPr>
              <w:spacing w:after="0"/>
              <w:rPr>
                <w:sz w:val="1"/>
                <w:szCs w:val="1"/>
                <w:color w:val="auto"/>
              </w:rPr>
            </w:pPr>
          </w:p>
        </w:tc>
      </w:tr>
      <w:tr>
        <w:trPr>
          <w:trHeight w:val="251"/>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35.9 %</w:t>
            </w: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30.3 %</w:t>
            </w:r>
          </w:p>
        </w:tc>
        <w:tc>
          <w:tcPr>
            <w:tcW w:w="0" w:type="dxa"/>
            <w:vAlign w:val="bottom"/>
          </w:tcPr>
          <w:p>
            <w:pPr>
              <w:spacing w:after="0"/>
              <w:rPr>
                <w:sz w:val="1"/>
                <w:szCs w:val="1"/>
                <w:color w:val="auto"/>
              </w:rPr>
            </w:pPr>
          </w:p>
        </w:tc>
      </w:tr>
      <w:tr>
        <w:trPr>
          <w:trHeight w:val="204"/>
        </w:trPr>
        <w:tc>
          <w:tcPr>
            <w:tcW w:w="3300" w:type="dxa"/>
            <w:vAlign w:val="bottom"/>
          </w:tcPr>
          <w:p>
            <w:pPr>
              <w:ind w:left="20"/>
              <w:spacing w:after="0" w:line="204" w:lineRule="exact"/>
              <w:rPr>
                <w:sz w:val="20"/>
                <w:szCs w:val="20"/>
                <w:color w:val="auto"/>
              </w:rPr>
            </w:pPr>
            <w:r>
              <w:rPr>
                <w:rFonts w:ascii="Times New Roman" w:cs="Times New Roman" w:eastAsia="Times New Roman" w:hAnsi="Times New Roman"/>
                <w:sz w:val="18"/>
                <w:szCs w:val="18"/>
                <w:color w:val="auto"/>
              </w:rPr>
              <w:t>Net income before non-controlling</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36.3 %</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w:t>
            </w:r>
          </w:p>
        </w:tc>
        <w:tc>
          <w:tcPr>
            <w:tcW w:w="26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vMerge w:val="restart"/>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vMerge w:val="restart"/>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26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440" w:type="dxa"/>
            <w:vAlign w:val="bottom"/>
            <w:tcBorders>
              <w:bottom w:val="single" w:sz="8" w:color="CFF0FC"/>
            </w:tcBorders>
            <w:gridSpan w:val="2"/>
            <w:vMerge w:val="continue"/>
            <w:shd w:val="clear" w:color="auto" w:fill="CFF0FC"/>
          </w:tcPr>
          <w:p>
            <w:pPr>
              <w:spacing w:after="0"/>
              <w:rPr>
                <w:sz w:val="20"/>
                <w:szCs w:val="20"/>
                <w:color w:val="auto"/>
              </w:rPr>
            </w:pPr>
          </w:p>
        </w:tc>
        <w:tc>
          <w:tcPr>
            <w:tcW w:w="9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vMerge w:val="continue"/>
            <w:shd w:val="clear" w:color="auto" w:fill="CFF0FC"/>
          </w:tcPr>
          <w:p>
            <w:pPr>
              <w:spacing w:after="0"/>
              <w:rPr>
                <w:sz w:val="20"/>
                <w:szCs w:val="20"/>
                <w:color w:val="auto"/>
              </w:rPr>
            </w:pPr>
          </w:p>
        </w:tc>
        <w:tc>
          <w:tcPr>
            <w:tcW w:w="380" w:type="dxa"/>
            <w:vAlign w:val="bottom"/>
            <w:tcBorders>
              <w:bottom w:val="single" w:sz="8" w:color="CFF0FC"/>
            </w:tcBorders>
            <w:gridSpan w:val="2"/>
            <w:vMerge w:val="continue"/>
            <w:shd w:val="clear" w:color="auto" w:fill="CFF0FC"/>
          </w:tcPr>
          <w:p>
            <w:pPr>
              <w:spacing w:after="0"/>
              <w:rPr>
                <w:sz w:val="20"/>
                <w:szCs w:val="20"/>
                <w:color w:val="auto"/>
              </w:rPr>
            </w:pPr>
          </w:p>
        </w:tc>
        <w:tc>
          <w:tcPr>
            <w:tcW w:w="9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the Company</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ind w:right="160"/>
              <w:spacing w:after="0" w:line="236" w:lineRule="exact"/>
              <w:rPr>
                <w:sz w:val="20"/>
                <w:szCs w:val="20"/>
                <w:color w:val="auto"/>
              </w:rPr>
            </w:pPr>
            <w:r>
              <w:rPr>
                <w:rFonts w:ascii="Times New Roman" w:cs="Times New Roman" w:eastAsia="Times New Roman" w:hAnsi="Times New Roman"/>
                <w:sz w:val="15"/>
                <w:szCs w:val="15"/>
                <w:color w:val="auto"/>
              </w:rPr>
              <w:t xml:space="preserve">35.3 % </w:t>
            </w:r>
            <w:r>
              <w:rPr>
                <w:rFonts w:ascii="Times New Roman" w:cs="Times New Roman" w:eastAsia="Times New Roman" w:hAnsi="Times New Roman"/>
                <w:sz w:val="27"/>
                <w:szCs w:val="27"/>
                <w:color w:val="auto"/>
                <w:vertAlign w:val="superscript"/>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29.1 %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300" w:type="dxa"/>
            <w:vAlign w:val="bottom"/>
            <w:shd w:val="clear" w:color="auto" w:fill="CFF0FC"/>
          </w:tcPr>
          <w:p>
            <w:pPr>
              <w:ind w:left="20"/>
              <w:spacing w:after="0" w:line="171" w:lineRule="exact"/>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3300" w:type="dxa"/>
            <w:vAlign w:val="bottom"/>
            <w:shd w:val="clear" w:color="auto" w:fill="CFF0FC"/>
          </w:tcPr>
          <w:p>
            <w:pPr>
              <w:ind w:left="160"/>
              <w:spacing w:after="0" w:line="267" w:lineRule="exact"/>
              <w:rPr>
                <w:sz w:val="20"/>
                <w:szCs w:val="20"/>
                <w:color w:val="auto"/>
              </w:rPr>
            </w:pPr>
            <w:r>
              <w:rPr>
                <w:rFonts w:ascii="Times New Roman" w:cs="Times New Roman" w:eastAsia="Times New Roman" w:hAnsi="Times New Roman"/>
                <w:sz w:val="18"/>
                <w:szCs w:val="18"/>
                <w:color w:val="auto"/>
              </w:rPr>
              <w:t xml:space="preserve">Margin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23"/>
                <w:szCs w:val="23"/>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29.4 %</w:t>
            </w:r>
          </w:p>
        </w:tc>
        <w:tc>
          <w:tcPr>
            <w:tcW w:w="240" w:type="dxa"/>
            <w:vAlign w:val="bottom"/>
            <w:shd w:val="clear" w:color="auto" w:fill="CFF0FC"/>
          </w:tcPr>
          <w:p>
            <w:pPr>
              <w:spacing w:after="0"/>
              <w:rPr>
                <w:sz w:val="23"/>
                <w:szCs w:val="23"/>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24.3 %</w:t>
            </w:r>
          </w:p>
        </w:tc>
        <w:tc>
          <w:tcPr>
            <w:tcW w:w="20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29.2 %</w:t>
            </w:r>
          </w:p>
        </w:tc>
        <w:tc>
          <w:tcPr>
            <w:tcW w:w="26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25.3 %</w:t>
            </w:r>
          </w:p>
        </w:tc>
        <w:tc>
          <w:tcPr>
            <w:tcW w:w="18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17.3 %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16.9 %</w:t>
            </w:r>
          </w:p>
        </w:tc>
        <w:tc>
          <w:tcPr>
            <w:tcW w:w="0" w:type="dxa"/>
            <w:vAlign w:val="bottom"/>
          </w:tcPr>
          <w:p>
            <w:pPr>
              <w:spacing w:after="0"/>
              <w:rPr>
                <w:sz w:val="1"/>
                <w:szCs w:val="1"/>
                <w:color w:val="auto"/>
              </w:rPr>
            </w:pPr>
          </w:p>
        </w:tc>
      </w:tr>
      <w:tr>
        <w:trPr>
          <w:trHeight w:val="243"/>
        </w:trPr>
        <w:tc>
          <w:tcPr>
            <w:tcW w:w="33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35.7 %</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34.2 %</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36.3 %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35.0 %</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10.0 %</w:t>
            </w: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11.2 %</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9.3 %</w:t>
            </w:r>
          </w:p>
        </w:tc>
        <w:tc>
          <w:tcPr>
            <w:tcW w:w="2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relative to total revenues</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49.7 %</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50.6 %</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49.9 %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50.9 %</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 relative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total revenues</w:t>
            </w:r>
          </w:p>
        </w:tc>
        <w:tc>
          <w:tcPr>
            <w:tcW w:w="2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14.7 %</w:t>
            </w:r>
          </w:p>
        </w:tc>
        <w:tc>
          <w:tcPr>
            <w:tcW w:w="2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15.5 %</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13.7 %</w:t>
            </w:r>
          </w:p>
        </w:tc>
        <w:tc>
          <w:tcPr>
            <w:tcW w:w="2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14.9 %</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107.7 %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56.0 %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June 30,</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15,944</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-4871720</wp:posOffset>
            </wp:positionV>
            <wp:extent cx="71323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-3938270</wp:posOffset>
            </wp:positionV>
            <wp:extent cx="713232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-3629660</wp:posOffset>
            </wp:positionV>
            <wp:extent cx="713232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-3321685</wp:posOffset>
            </wp:positionV>
            <wp:extent cx="7132320" cy="1543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-4563110</wp:posOffset>
            </wp:positionV>
            <wp:extent cx="7132320" cy="1625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-2876550</wp:posOffset>
            </wp:positionV>
            <wp:extent cx="7132320" cy="1625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-2559685</wp:posOffset>
            </wp:positionV>
            <wp:extent cx="7132320" cy="16256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-1823085</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-1823085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-1823085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-1823085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19005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Commissions and Fees</w:t>
      </w:r>
    </w:p>
    <w:p>
      <w:pPr>
        <w:spacing w:after="0" w:line="121" w:lineRule="exact"/>
        <w:rPr>
          <w:sz w:val="20"/>
          <w:szCs w:val="20"/>
          <w:color w:val="auto"/>
        </w:rPr>
      </w:pPr>
    </w:p>
    <w:p>
      <w:pPr>
        <w:jc w:val="both"/>
        <w:ind w:right="160" w:firstLine="494"/>
        <w:spacing w:after="0" w:line="272" w:lineRule="auto"/>
        <w:rPr>
          <w:sz w:val="20"/>
          <w:szCs w:val="20"/>
          <w:color w:val="auto"/>
        </w:rPr>
      </w:pPr>
      <w:r>
        <w:rPr>
          <w:rFonts w:ascii="Times New Roman" w:cs="Times New Roman" w:eastAsia="Times New Roman" w:hAnsi="Times New Roman"/>
          <w:sz w:val="17"/>
          <w:szCs w:val="17"/>
          <w:color w:val="auto"/>
        </w:rPr>
        <w:t>Commissions and fees, including profit-sharing contingent commissions and earned premiums, for the three months ended June 30, 2024 increased $118 million to $1,154 million, or 11.4%, over the same period in 2023. Core commissions and fees revenue for the second quarter of 2024 increased $115 million or 11.5%, composed of: (i) approximately $98 million of net new and renewal business, which reflects an Organic Revenue growth rate of 10.0%;</w:t>
      </w:r>
    </w:p>
    <w:p>
      <w:pPr>
        <w:spacing w:after="0" w:line="1" w:lineRule="exact"/>
        <w:rPr>
          <w:sz w:val="20"/>
          <w:szCs w:val="20"/>
          <w:color w:val="auto"/>
        </w:rPr>
      </w:pPr>
    </w:p>
    <w:p>
      <w:pPr>
        <w:ind w:right="280" w:firstLine="8"/>
        <w:spacing w:after="0" w:line="253" w:lineRule="auto"/>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 million from acquisitions that had no comparable revenues in the same period of 2023; (iii) an increase from the impact of Foreign Currency Translation of $1 million and (iv) an offsetting decrease of $28 million related to commissions and fees revenue from businesses or books of business divested in the preceding twelve months. Profit-sharing contingent commissions for the second quarter of 2024 increased by $3 million, compared to the same period in 2023.</w:t>
      </w:r>
    </w:p>
    <w:p>
      <w:pPr>
        <w:spacing w:after="0" w:line="18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88" w:right="279" w:bottom="1440" w:gutter="0" w:footer="0" w:header="0"/>
        </w:sectPr>
      </w:pPr>
    </w:p>
    <w:bookmarkStart w:id="27" w:name="page28"/>
    <w:bookmarkEnd w:id="27"/>
    <w:p>
      <w:pPr>
        <w:ind w:firstLine="494"/>
        <w:spacing w:after="0" w:line="254" w:lineRule="auto"/>
        <w:rPr>
          <w:sz w:val="20"/>
          <w:szCs w:val="20"/>
          <w:color w:val="auto"/>
        </w:rPr>
      </w:pPr>
      <w:r>
        <w:rPr>
          <w:rFonts w:ascii="Times New Roman" w:cs="Times New Roman" w:eastAsia="Times New Roman" w:hAnsi="Times New Roman"/>
          <w:sz w:val="18"/>
          <w:szCs w:val="18"/>
          <w:color w:val="auto"/>
        </w:rPr>
        <w:t>Commissions and fees, including profit-sharing contingent commissions and earned premiums, for the six months ended June 30, 2024, increased $246 million to $2,390 million, or 11.5%, over the same period in 2023. Core commissions and fees revenue for the six months ended June 30, 2024 increased $224 million or 10.7%, composed of: (i) approximately $189 million of net new and renewal business, which reflects an Organic Revenue growth rate of 9.3%; (ii) $85 million from acquisitions that had no comparable revenues in the same period of 2023; (iii) an increase from the impact of Foreign Currency Translation of $5 million and (iv) an offsetting decrease of $55 million related to commissions and fees revenue from businesses or books of business divested in the preceding twelve months. Profit-sharing contingent commissions for the six months ended June 30, 2024 increased by $22 million, or 36.7%, compared to the same period in 2023. This increase was driven primarily by (i) improved underwriting results and qualifying for certain prior year profit-sharing contingent commissions in excess of estimates that we did not qualify for in the prior year and (ii) recent acquisitions.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121" w:lineRule="exact"/>
        <w:rPr>
          <w:sz w:val="20"/>
          <w:szCs w:val="20"/>
          <w:color w:val="auto"/>
        </w:rPr>
      </w:pPr>
    </w:p>
    <w:p>
      <w:pPr>
        <w:ind w:right="280" w:firstLine="494"/>
        <w:spacing w:after="0" w:line="265" w:lineRule="auto"/>
        <w:rPr>
          <w:sz w:val="20"/>
          <w:szCs w:val="20"/>
          <w:color w:val="auto"/>
        </w:rPr>
      </w:pPr>
      <w:r>
        <w:rPr>
          <w:rFonts w:ascii="Times New Roman" w:cs="Times New Roman" w:eastAsia="Times New Roman" w:hAnsi="Times New Roman"/>
          <w:sz w:val="18"/>
          <w:szCs w:val="18"/>
          <w:color w:val="auto"/>
        </w:rPr>
        <w:t>Investment income for the three months ended June 30, 2024 increased $12 million, from the same period in 2023. Investment income for the six months ended June 30, 2024 increased $23 million, from the same period in 2023. The increases were primarily driven by higher average interest rates compared to the prior year.</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21" w:lineRule="exact"/>
        <w:rPr>
          <w:sz w:val="20"/>
          <w:szCs w:val="20"/>
          <w:color w:val="auto"/>
        </w:rPr>
      </w:pPr>
    </w:p>
    <w:p>
      <w:pPr>
        <w:ind w:right="40" w:firstLine="494"/>
        <w:spacing w:after="0" w:line="265" w:lineRule="auto"/>
        <w:rPr>
          <w:sz w:val="20"/>
          <w:szCs w:val="20"/>
          <w:color w:val="auto"/>
        </w:rPr>
      </w:pPr>
      <w:r>
        <w:rPr>
          <w:rFonts w:ascii="Times New Roman" w:cs="Times New Roman" w:eastAsia="Times New Roman" w:hAnsi="Times New Roman"/>
          <w:sz w:val="18"/>
          <w:szCs w:val="18"/>
          <w:color w:val="auto"/>
        </w:rPr>
        <w:t>Other income for the three months ended June 30, 2024 increased $1 million to $2 million as compared to the same period in 2023 and other income for the six months ended June 30, 2024 increased by $3 million, or 150.0%, as compared to the same period in 2023. Other income consists primarily of miscellaneous income and therefore can fluctuate between comparable periods.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Compensation and Benefits</w:t>
      </w:r>
    </w:p>
    <w:p>
      <w:pPr>
        <w:spacing w:after="0" w:line="121" w:lineRule="exact"/>
        <w:rPr>
          <w:sz w:val="20"/>
          <w:szCs w:val="20"/>
          <w:color w:val="auto"/>
        </w:rPr>
      </w:pPr>
    </w:p>
    <w:p>
      <w:pPr>
        <w:ind w:right="40" w:firstLine="494"/>
        <w:spacing w:after="0" w:line="255" w:lineRule="auto"/>
        <w:rPr>
          <w:sz w:val="20"/>
          <w:szCs w:val="20"/>
          <w:color w:val="auto"/>
        </w:rPr>
      </w:pPr>
      <w:r>
        <w:rPr>
          <w:rFonts w:ascii="Times New Roman" w:cs="Times New Roman" w:eastAsia="Times New Roman" w:hAnsi="Times New Roman"/>
          <w:sz w:val="18"/>
          <w:szCs w:val="18"/>
          <w:color w:val="auto"/>
        </w:rPr>
        <w:t>Employee compensation and benefits expense as a percentage of total revenues was 49.7% for the three months ended June 30, 2024 as compared to 50.6% for the three months ended June 30, 2023, and increased 10.4%, or $55 million. This increase included $20 million of compensation costs related to stand-alone acquisitions that had no comparable costs in the same period of 2023. Therefore, employee compensation and benefits expense attributable to those offices that existed in the same time periods of 2024 and 2023 increased by $35 million, or 6.7%. This underlying employee compensation and benefits expense increase was primarily related to: (i) an increase in staff salaries and bonuses attributable to new hires; (ii) an increase in producer compensation associated with revenue growth and (iii) an increase in non-cash stock-based compensation driven by the strong financial performance of the Company, partially offset by (iv) employee compensation and benefits associated with businesses divested in the fourth quarter of 2023.</w:t>
      </w:r>
    </w:p>
    <w:p>
      <w:pPr>
        <w:spacing w:after="0" w:line="79" w:lineRule="exact"/>
        <w:rPr>
          <w:sz w:val="20"/>
          <w:szCs w:val="20"/>
          <w:color w:val="auto"/>
        </w:rPr>
      </w:pPr>
    </w:p>
    <w:p>
      <w:pPr>
        <w:ind w:right="40" w:firstLine="494"/>
        <w:spacing w:after="0" w:line="255" w:lineRule="auto"/>
        <w:rPr>
          <w:sz w:val="20"/>
          <w:szCs w:val="20"/>
          <w:color w:val="auto"/>
        </w:rPr>
      </w:pPr>
      <w:r>
        <w:rPr>
          <w:rFonts w:ascii="Times New Roman" w:cs="Times New Roman" w:eastAsia="Times New Roman" w:hAnsi="Times New Roman"/>
          <w:sz w:val="18"/>
          <w:szCs w:val="18"/>
          <w:color w:val="auto"/>
        </w:rPr>
        <w:t>Employee compensation and benefits expense as a percentage of total revenues was 49.9% for the six months ended June 30, 2024 as compared to 50.9% for the six months ended June 30, 2023, and increased 10.4%, or $115 million. This increase included $41 million of compensation costs related to stand-alone acquisitions that had no comparable costs in the same period of 2023. Therefore, employee compensation and benefits expense attributable to those offices that existed in the same time periods of 2024 and 2023 increased by $74 million, or 6.7%. This underlying employee compensation and benefits expense increase was primarily related to: (i) an increase in staff salaries and bonuses attributable to new hires; (ii) an increase in producer compensation associated with revenue growth and (iii) an increase in non-cash stock-based compensation driven by the strong financial performance of the Company, partially offset by (iv) employee compensation and benefits associated with businesses divested in the fourth quarter of 2023.</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Operating Expenses</w:t>
      </w:r>
    </w:p>
    <w:p>
      <w:pPr>
        <w:spacing w:after="0" w:line="121"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Other operating expenses represented 14.7% of total revenues for the second quarter of 2024, as compared to 15.5% for the second quarter of 2023. Other operating expenses for the second quarter of 2024 increased $11 million, or 6.8%, from the same period of 2023. This increase includes: (i) $8 million of other operating expenses related to stand-alone acquisitions that had no comparable costs in the same period of 2023; (ii) increased information technology related costs; (iii) and to a lesser extent, increased variable costs associated with revenue growth, offset by (iv) other operating expenses associated with businesses divested in the fourth quarter of 2023.</w:t>
      </w:r>
    </w:p>
    <w:p>
      <w:pPr>
        <w:spacing w:after="0" w:line="74" w:lineRule="exact"/>
        <w:rPr>
          <w:sz w:val="20"/>
          <w:szCs w:val="20"/>
          <w:color w:val="auto"/>
        </w:rPr>
      </w:pPr>
    </w:p>
    <w:p>
      <w:pPr>
        <w:ind w:right="20" w:firstLine="494"/>
        <w:spacing w:after="0" w:line="258" w:lineRule="auto"/>
        <w:rPr>
          <w:sz w:val="20"/>
          <w:szCs w:val="20"/>
          <w:color w:val="auto"/>
        </w:rPr>
      </w:pPr>
      <w:r>
        <w:rPr>
          <w:rFonts w:ascii="Times New Roman" w:cs="Times New Roman" w:eastAsia="Times New Roman" w:hAnsi="Times New Roman"/>
          <w:sz w:val="18"/>
          <w:szCs w:val="18"/>
          <w:color w:val="auto"/>
        </w:rPr>
        <w:t>Other operating expenses represented 13.7% of total revenues for the six months ended June 30, 2024, as compared to 14.9% for the six months ended June 30, 2023. Other operating expenses for the first six months of 2024 increased $12 million, or 3.7%, from the same period of 2023. This increase includes: (i) $17 million of other operating expenses related to stand-alone acquisitions that had no comparable costs in the same period of 2023; (ii) increased information technology related costs; (iii) and to a lesser extent, increased variable costs associated with revenue growth, offset by (iv) the 1Q23 Nonrecurring Cost and (v) other operating expenses associated with businesses divested in the fourth quarter of 2023.</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(Gain)/Loss on Disposal</w:t>
      </w:r>
    </w:p>
    <w:p>
      <w:pPr>
        <w:spacing w:after="0" w:line="121" w:lineRule="exact"/>
        <w:rPr>
          <w:sz w:val="20"/>
          <w:szCs w:val="20"/>
          <w:color w:val="auto"/>
        </w:rPr>
      </w:pPr>
    </w:p>
    <w:p>
      <w:pPr>
        <w:ind w:firstLine="494"/>
        <w:spacing w:after="0" w:line="256" w:lineRule="auto"/>
        <w:rPr>
          <w:sz w:val="20"/>
          <w:szCs w:val="20"/>
          <w:color w:val="auto"/>
        </w:rPr>
      </w:pPr>
      <w:r>
        <w:rPr>
          <w:rFonts w:ascii="Times New Roman" w:cs="Times New Roman" w:eastAsia="Times New Roman" w:hAnsi="Times New Roman"/>
          <w:sz w:val="18"/>
          <w:szCs w:val="18"/>
          <w:color w:val="auto"/>
        </w:rPr>
        <w:t>Gain on disposal for the second quarter of 2024 increased $31 million from the second quarter of 2023. Gain on disposal for the six months ended June 30, 2024 increased $23 million from the six months ended June 30, 2023. Activity for (Gain)/Loss on disposal for the three and six months ended June 30, 2024 was primarily attributable to finalization of the gain associated with selling certain third-party claims administration and adjusting services businesses in the fourth quarter of 2023. Although we do not routinely sell businesses or customer accounts, we periodically sell an office or a book of business (one or more customer accounts) that we believe does not produce reasonable margins or demonstrate a potential for adequate growth, or because doing so is in the Company’s best interest.</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Amortization</w:t>
      </w:r>
    </w:p>
    <w:p>
      <w:pPr>
        <w:spacing w:after="0" w:line="121" w:lineRule="exact"/>
        <w:rPr>
          <w:sz w:val="20"/>
          <w:szCs w:val="20"/>
          <w:color w:val="auto"/>
        </w:rPr>
      </w:pPr>
    </w:p>
    <w:p>
      <w:pPr>
        <w:ind w:right="160" w:firstLine="494"/>
        <w:spacing w:after="0" w:line="260" w:lineRule="auto"/>
        <w:rPr>
          <w:sz w:val="20"/>
          <w:szCs w:val="20"/>
          <w:color w:val="auto"/>
        </w:rPr>
      </w:pPr>
      <w:r>
        <w:rPr>
          <w:rFonts w:ascii="Times New Roman" w:cs="Times New Roman" w:eastAsia="Times New Roman" w:hAnsi="Times New Roman"/>
          <w:sz w:val="18"/>
          <w:szCs w:val="18"/>
          <w:color w:val="auto"/>
        </w:rPr>
        <w:t>Amortization expense for the second quarter of 2024 increased $3 million, or 7.3%, compared to the second quarter of 2023. Amortization expense for the six months ended June 30, 2024 increased $3 million, or 3.6%, compared to the six months ended June 30, 2023. This change reflects the amortization of new intangibles from businesses acquired within the past twelve months, net of certain intangible assets becoming fully amortized or written off in the (Gain)/Loss on disposal.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Depreciation</w:t>
      </w:r>
    </w:p>
    <w:p>
      <w:pPr>
        <w:spacing w:after="0" w:line="121" w:lineRule="exact"/>
        <w:rPr>
          <w:sz w:val="20"/>
          <w:szCs w:val="20"/>
          <w:color w:val="auto"/>
        </w:rPr>
      </w:pPr>
    </w:p>
    <w:p>
      <w:pPr>
        <w:ind w:right="120" w:firstLine="494"/>
        <w:spacing w:after="0" w:line="260" w:lineRule="auto"/>
        <w:rPr>
          <w:sz w:val="20"/>
          <w:szCs w:val="20"/>
          <w:color w:val="auto"/>
        </w:rPr>
      </w:pPr>
      <w:r>
        <w:rPr>
          <w:rFonts w:ascii="Times New Roman" w:cs="Times New Roman" w:eastAsia="Times New Roman" w:hAnsi="Times New Roman"/>
          <w:sz w:val="18"/>
          <w:szCs w:val="18"/>
          <w:color w:val="auto"/>
        </w:rPr>
        <w:t>Depreciation expense for the second quarter of 2024 increased $1 million, or 10.0%, compared to the second quarter of 2023. Depreciation expense for the six months ended June 30, 2024 increased $1 million, or 5.0%, compared to the six months ended June 30, 2023. Changes in depreciation expense reflect net additions of fixed assets resulting from businesses acquired in the past twelve months and the addition of fixed assets resulting from business initiatives, net of the impact of fixed assets that became fully depreciated or written off in the gain or loss on disposal.</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220" w:firstLine="494"/>
        <w:spacing w:after="0" w:line="281" w:lineRule="auto"/>
        <w:rPr>
          <w:sz w:val="20"/>
          <w:szCs w:val="20"/>
          <w:color w:val="auto"/>
        </w:rPr>
      </w:pPr>
      <w:r>
        <w:rPr>
          <w:rFonts w:ascii="Times New Roman" w:cs="Times New Roman" w:eastAsia="Times New Roman" w:hAnsi="Times New Roman"/>
          <w:sz w:val="18"/>
          <w:szCs w:val="18"/>
          <w:color w:val="auto"/>
        </w:rPr>
        <w:t>Interest expense for the second quarter of 2024 increased $1 million, or 2.1%, compared to the second quarter of 2023. Interest expense for the six months ended June 30, 2024 increased $2 million, or 2.1%, compared to the first six months of 2023.</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Estimated Acquisition Earn-Out Payables</w:t>
      </w:r>
    </w:p>
    <w:p>
      <w:pPr>
        <w:spacing w:after="0" w:line="121" w:lineRule="exact"/>
        <w:rPr>
          <w:sz w:val="20"/>
          <w:szCs w:val="20"/>
          <w:color w:val="auto"/>
        </w:rPr>
      </w:pPr>
    </w:p>
    <w:p>
      <w:pPr>
        <w:ind w:right="80" w:firstLine="494"/>
        <w:spacing w:after="0" w:line="255" w:lineRule="auto"/>
        <w:rPr>
          <w:sz w:val="20"/>
          <w:szCs w:val="20"/>
          <w:color w:val="auto"/>
        </w:rPr>
      </w:pPr>
      <w:r>
        <w:rPr>
          <w:rFonts w:ascii="Times New Roman" w:cs="Times New Roman" w:eastAsia="Times New Roman" w:hAnsi="Times New Roman"/>
          <w:sz w:val="18"/>
          <w:szCs w:val="18"/>
          <w:color w:val="auto"/>
        </w:rPr>
        <w:t>Accounting Standards Codification (“ASC”) Topic 805 - Business Combinations is the authoritative guidance requiring an acquirer to recognize 100% of the fair value of acquired assets, including goodwill, and assumed liabilities (with only limited exceptions) upon initially obtaining control of an acquired entity. Additionally, the fair value of contingent consideration arrangements (such as earn-out purchase price arrangements) at the acquisition date must be included in the purchase price consideration. The recorded purchase price for acquisitions includes an estimation of the fair value of liabilities associated with any potential earn-out provisions. Subsequent changes in these earn-out obligations are required to be recorded in the Condensed Consolidated Statements of Income when incurred or reasonably estimated. Estimations of potential earn-out obligations are typically based upon future earnings of the acquired operations or entities, usually for periods ranging from one to three years.</w:t>
      </w:r>
    </w:p>
    <w:p>
      <w:pPr>
        <w:spacing w:after="0" w:line="79" w:lineRule="exact"/>
        <w:rPr>
          <w:sz w:val="20"/>
          <w:szCs w:val="20"/>
          <w:color w:val="auto"/>
        </w:rPr>
      </w:pPr>
    </w:p>
    <w:p>
      <w:pPr>
        <w:ind w:right="280" w:firstLine="494"/>
        <w:spacing w:after="0" w:line="281" w:lineRule="auto"/>
        <w:rPr>
          <w:sz w:val="20"/>
          <w:szCs w:val="20"/>
          <w:color w:val="auto"/>
        </w:rPr>
      </w:pPr>
      <w:r>
        <w:rPr>
          <w:rFonts w:ascii="Times New Roman" w:cs="Times New Roman" w:eastAsia="Times New Roman" w:hAnsi="Times New Roman"/>
          <w:sz w:val="18"/>
          <w:szCs w:val="18"/>
          <w:color w:val="auto"/>
        </w:rPr>
        <w:t>The net charge or credit to the Consolidated Statements of Income for the period is the combination of the net change in the estimated acquisition earn-out payables liability, and the accretion of the present value discount on those liabilities.</w:t>
      </w:r>
    </w:p>
    <w:p>
      <w:pPr>
        <w:spacing w:after="0" w:line="55" w:lineRule="exact"/>
        <w:rPr>
          <w:sz w:val="20"/>
          <w:szCs w:val="20"/>
          <w:color w:val="auto"/>
        </w:rPr>
      </w:pPr>
    </w:p>
    <w:p>
      <w:pPr>
        <w:ind w:right="180" w:firstLine="494"/>
        <w:spacing w:after="0" w:line="265" w:lineRule="auto"/>
        <w:rPr>
          <w:sz w:val="20"/>
          <w:szCs w:val="20"/>
          <w:color w:val="auto"/>
        </w:rPr>
      </w:pPr>
      <w:r>
        <w:rPr>
          <w:rFonts w:ascii="Times New Roman" w:cs="Times New Roman" w:eastAsia="Times New Roman" w:hAnsi="Times New Roman"/>
          <w:sz w:val="18"/>
          <w:szCs w:val="18"/>
          <w:color w:val="auto"/>
        </w:rPr>
        <w:t>As of June 30, 2024 and 2023, the fair values of the estimated acquisition earn-out payables were re-evaluated based upon projected operating results and measured at fair value on a recurring basis using unobservable inputs (Level 3) as defined in ASC 820-</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resulting net changes, as well as the interest expense accretion on the estimated acquisition earn-out payables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60" w:type="dxa"/>
            <w:vAlign w:val="bottom"/>
          </w:tcPr>
          <w:p>
            <w:pPr>
              <w:spacing w:after="0"/>
              <w:rPr>
                <w:sz w:val="16"/>
                <w:szCs w:val="16"/>
                <w:color w:val="auto"/>
              </w:rPr>
            </w:pPr>
          </w:p>
        </w:tc>
        <w:tc>
          <w:tcPr>
            <w:tcW w:w="230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tcBorders>
              <w:bottom w:val="single" w:sz="8" w:color="auto"/>
            </w:tcBorders>
            <w:gridSpan w:val="5"/>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63"/>
        </w:trPr>
        <w:tc>
          <w:tcPr>
            <w:tcW w:w="5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94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6"/>
        </w:trPr>
        <w:tc>
          <w:tcPr>
            <w:tcW w:w="5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estimated acquisition earn-out payables</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1020" w:type="dxa"/>
            <w:vAlign w:val="bottom"/>
            <w:gridSpan w:val="2"/>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(7 )</w:t>
            </w:r>
          </w:p>
        </w:tc>
        <w:tc>
          <w:tcPr>
            <w:tcW w:w="94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38"/>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accretion</w:t>
            </w: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56"/>
        </w:trPr>
        <w:tc>
          <w:tcPr>
            <w:tcW w:w="58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change in earnings from estimated acquisition earn-out payables</w:t>
            </w: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shd w:val="clear" w:color="auto" w:fill="CFF0FC"/>
          </w:tcPr>
          <w:p>
            <w:pPr>
              <w:spacing w:after="0"/>
              <w:rPr>
                <w:sz w:val="22"/>
                <w:szCs w:val="22"/>
                <w:color w:val="auto"/>
              </w:rPr>
            </w:pPr>
          </w:p>
        </w:tc>
        <w:tc>
          <w:tcPr>
            <w:tcW w:w="820" w:type="dxa"/>
            <w:vAlign w:val="bottom"/>
            <w:shd w:val="clear" w:color="auto" w:fill="CFF0FC"/>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940" w:type="dxa"/>
            <w:vAlign w:val="bottom"/>
            <w:gridSpan w:val="2"/>
            <w:shd w:val="clear" w:color="auto" w:fill="CFF0FC"/>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-24765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-7620</wp:posOffset>
            </wp:positionV>
            <wp:extent cx="7683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-24765</wp:posOffset>
            </wp:positionV>
            <wp:extent cx="768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-7620</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6221095</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ind w:right="20" w:firstLine="494"/>
        <w:spacing w:after="0" w:line="281" w:lineRule="auto"/>
        <w:rPr>
          <w:sz w:val="20"/>
          <w:szCs w:val="20"/>
          <w:color w:val="auto"/>
        </w:rPr>
      </w:pPr>
      <w:r>
        <w:rPr>
          <w:rFonts w:ascii="Times New Roman" w:cs="Times New Roman" w:eastAsia="Times New Roman" w:hAnsi="Times New Roman"/>
          <w:sz w:val="18"/>
          <w:szCs w:val="18"/>
          <w:color w:val="auto"/>
        </w:rPr>
        <w:t>For the three months and six months ended June 30, 2024, the fair value of estimated earn-out payables was re-evaluated and resulted in decreases of $2 million and $7 million, respectively, which resulted in credits to the Condensed Consolidated Statements of Income.</w:t>
      </w:r>
    </w:p>
    <w:p>
      <w:pPr>
        <w:spacing w:after="0" w:line="55" w:lineRule="exact"/>
        <w:rPr>
          <w:sz w:val="20"/>
          <w:szCs w:val="20"/>
          <w:color w:val="auto"/>
        </w:rPr>
      </w:pPr>
    </w:p>
    <w:p>
      <w:pPr>
        <w:ind w:right="180" w:firstLine="494"/>
        <w:spacing w:after="0" w:line="281" w:lineRule="auto"/>
        <w:rPr>
          <w:sz w:val="20"/>
          <w:szCs w:val="20"/>
          <w:color w:val="auto"/>
        </w:rPr>
      </w:pPr>
      <w:r>
        <w:rPr>
          <w:rFonts w:ascii="Times New Roman" w:cs="Times New Roman" w:eastAsia="Times New Roman" w:hAnsi="Times New Roman"/>
          <w:sz w:val="18"/>
          <w:szCs w:val="18"/>
          <w:color w:val="auto"/>
        </w:rPr>
        <w:t>As of June 30, 2024, estimated acquisition earn-out payables totaled $169 million, of which $93 million was recorded as accounts payable and $76 million was recorded as other non-current liabilities.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540" w:firstLine="494"/>
        <w:spacing w:after="0" w:line="281" w:lineRule="auto"/>
        <w:rPr>
          <w:sz w:val="20"/>
          <w:szCs w:val="20"/>
          <w:color w:val="auto"/>
        </w:rPr>
      </w:pPr>
      <w:r>
        <w:rPr>
          <w:rFonts w:ascii="Times New Roman" w:cs="Times New Roman" w:eastAsia="Times New Roman" w:hAnsi="Times New Roman"/>
          <w:sz w:val="18"/>
          <w:szCs w:val="18"/>
          <w:color w:val="auto"/>
        </w:rPr>
        <w:t>The effective tax rate on income from operations for the three months ended June 30, 2024 and 2023 was 25.1% and 25.2%, respectively. The effective tax rate on income from operations for the six months ended June 30, 2024 and 2023 was 22.3% and 22.4%,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 — SEGMENT INFORMATION</w:t>
      </w:r>
    </w:p>
    <w:p>
      <w:pPr>
        <w:spacing w:after="0" w:line="121" w:lineRule="exact"/>
        <w:rPr>
          <w:sz w:val="20"/>
          <w:szCs w:val="20"/>
          <w:color w:val="auto"/>
        </w:rPr>
      </w:pPr>
    </w:p>
    <w:p>
      <w:pPr>
        <w:ind w:right="380" w:firstLine="494"/>
        <w:spacing w:after="0" w:line="280" w:lineRule="auto"/>
        <w:rPr>
          <w:sz w:val="20"/>
          <w:szCs w:val="20"/>
          <w:color w:val="auto"/>
        </w:rPr>
      </w:pPr>
      <w:r>
        <w:rPr>
          <w:rFonts w:ascii="Times New Roman" w:cs="Times New Roman" w:eastAsia="Times New Roman" w:hAnsi="Times New Roman"/>
          <w:sz w:val="17"/>
          <w:szCs w:val="17"/>
          <w:color w:val="auto"/>
        </w:rPr>
        <w:t>As discussed in Note 12 to the Condensed Consolidated Financial Statements, we operate three reportable segments: Retail, Programs and Wholesale Brokerage. On a segmented basis, changes in amortization, depreciation and interest expenses generally result from activity associated with acquisitions. Likewise, other income consists primarily of miscellaneous income and therefore can fluctuate between comparable periods. As such, in evaluating the operational efficiency of a segment, management primarily focuses on the Organic Revenue growth rate and EBITDAC Margin.</w:t>
      </w:r>
    </w:p>
    <w:p>
      <w:pPr>
        <w:spacing w:after="0" w:line="59" w:lineRule="exact"/>
        <w:rPr>
          <w:sz w:val="20"/>
          <w:szCs w:val="20"/>
          <w:color w:val="auto"/>
        </w:rPr>
      </w:pPr>
    </w:p>
    <w:p>
      <w:pPr>
        <w:ind w:right="20" w:firstLine="494"/>
        <w:spacing w:after="0" w:line="265" w:lineRule="auto"/>
        <w:rPr>
          <w:sz w:val="20"/>
          <w:szCs w:val="20"/>
          <w:color w:val="auto"/>
        </w:rPr>
      </w:pPr>
      <w:r>
        <w:rPr>
          <w:rFonts w:ascii="Times New Roman" w:cs="Times New Roman" w:eastAsia="Times New Roman" w:hAnsi="Times New Roman"/>
          <w:sz w:val="18"/>
          <w:szCs w:val="18"/>
          <w:color w:val="auto"/>
        </w:rPr>
        <w:t>The reconciliation of commissions and fees included in the Condensed Consolidated Statements of Income to Organic Revenue, a non-GAAP financial measure, for the three months ended June 30, 2024 and 2023, and the growth rates for Organic Revenue for the three months ended June 30, 2024, including by segment,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Retail </w:t>
            </w:r>
            <w:r>
              <w:rPr>
                <w:rFonts w:ascii="Times New Roman" w:cs="Times New Roman" w:eastAsia="Times New Roman" w:hAnsi="Times New Roman"/>
                <w:sz w:val="21"/>
                <w:szCs w:val="21"/>
                <w:b w:val="1"/>
                <w:bCs w:val="1"/>
                <w:color w:val="auto"/>
                <w:vertAlign w:val="superscript"/>
              </w:rPr>
              <w:t>(1)</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Wholesale Brokerage</w:t>
            </w:r>
          </w:p>
        </w:tc>
        <w:tc>
          <w:tcPr>
            <w:tcW w:w="180" w:type="dxa"/>
            <w:vAlign w:val="bottom"/>
          </w:tcPr>
          <w:p>
            <w:pPr>
              <w:spacing w:after="0"/>
              <w:rPr>
                <w:sz w:val="21"/>
                <w:szCs w:val="21"/>
                <w:color w:val="auto"/>
              </w:rPr>
            </w:pPr>
          </w:p>
        </w:tc>
        <w:tc>
          <w:tcPr>
            <w:tcW w:w="112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 except percentages)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Commissions and fees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change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growth %</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9.2 %</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14.6 %</w:t>
            </w:r>
          </w:p>
        </w:tc>
        <w:tc>
          <w:tcPr>
            <w:tcW w:w="2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13.7 %</w:t>
            </w: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11.4 %</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Profit-sharing contingent</w:t>
            </w:r>
          </w:p>
        </w:tc>
        <w:tc>
          <w:tcPr>
            <w:tcW w:w="200" w:type="dxa"/>
            <w:vAlign w:val="bottom"/>
          </w:tcPr>
          <w:p>
            <w:pPr>
              <w:spacing w:after="0"/>
              <w:rPr>
                <w:sz w:val="17"/>
                <w:szCs w:val="17"/>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(7 )</w:t>
            </w:r>
          </w:p>
        </w:tc>
        <w:tc>
          <w:tcPr>
            <w:tcW w:w="180" w:type="dxa"/>
            <w:vAlign w:val="bottom"/>
          </w:tcPr>
          <w:p>
            <w:pPr>
              <w:spacing w:after="0"/>
              <w:rPr>
                <w:sz w:val="17"/>
                <w:szCs w:val="17"/>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(15 )</w:t>
            </w:r>
          </w:p>
        </w:tc>
        <w:tc>
          <w:tcPr>
            <w:tcW w:w="200" w:type="dxa"/>
            <w:vAlign w:val="bottom"/>
          </w:tcPr>
          <w:p>
            <w:pPr>
              <w:spacing w:after="0"/>
              <w:rPr>
                <w:sz w:val="17"/>
                <w:szCs w:val="17"/>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(25 )</w:t>
            </w:r>
          </w:p>
        </w:tc>
        <w:tc>
          <w:tcPr>
            <w:tcW w:w="200" w:type="dxa"/>
            <w:vAlign w:val="bottom"/>
          </w:tcPr>
          <w:p>
            <w:pPr>
              <w:spacing w:after="0"/>
              <w:rPr>
                <w:sz w:val="17"/>
                <w:szCs w:val="17"/>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(15 )</w:t>
            </w:r>
          </w:p>
        </w:tc>
        <w:tc>
          <w:tcPr>
            <w:tcW w:w="160" w:type="dxa"/>
            <w:vAlign w:val="bottom"/>
          </w:tcPr>
          <w:p>
            <w:pPr>
              <w:spacing w:after="0"/>
              <w:rPr>
                <w:sz w:val="17"/>
                <w:szCs w:val="17"/>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(4 )</w:t>
            </w:r>
          </w:p>
        </w:tc>
        <w:tc>
          <w:tcPr>
            <w:tcW w:w="160" w:type="dxa"/>
            <w:vAlign w:val="bottom"/>
          </w:tcPr>
          <w:p>
            <w:pPr>
              <w:spacing w:after="0"/>
              <w:rPr>
                <w:sz w:val="17"/>
                <w:szCs w:val="17"/>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(3 )</w:t>
            </w:r>
          </w:p>
        </w:tc>
        <w:tc>
          <w:tcPr>
            <w:tcW w:w="180" w:type="dxa"/>
            <w:vAlign w:val="bottom"/>
          </w:tcPr>
          <w:p>
            <w:pPr>
              <w:spacing w:after="0"/>
              <w:rPr>
                <w:sz w:val="17"/>
                <w:szCs w:val="17"/>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(36 )</w:t>
            </w:r>
          </w:p>
        </w:tc>
        <w:tc>
          <w:tcPr>
            <w:tcW w:w="180" w:type="dxa"/>
            <w:vAlign w:val="bottom"/>
          </w:tcPr>
          <w:p>
            <w:pPr>
              <w:spacing w:after="0"/>
              <w:rPr>
                <w:sz w:val="17"/>
                <w:szCs w:val="17"/>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commissions</w:t>
            </w: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Core commissions and fees</w:t>
            </w: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(21 )</w:t>
            </w:r>
          </w:p>
        </w:tc>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(20 )</w:t>
            </w: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(3 )</w:t>
            </w:r>
          </w:p>
        </w:tc>
        <w:tc>
          <w:tcPr>
            <w:tcW w:w="16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(44 )</w:t>
            </w:r>
          </w:p>
        </w:tc>
        <w:tc>
          <w:tcPr>
            <w:tcW w:w="1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Dispositions</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(2 )</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(26 )</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spacing w:after="0" w:line="229" w:lineRule="exact"/>
              <w:rPr>
                <w:sz w:val="20"/>
                <w:szCs w:val="20"/>
                <w:color w:val="auto"/>
              </w:rPr>
            </w:pPr>
            <w:r>
              <w:rPr>
                <w:rFonts w:ascii="Times New Roman" w:cs="Times New Roman" w:eastAsia="Times New Roman" w:hAnsi="Times New Roman"/>
                <w:sz w:val="16"/>
                <w:szCs w:val="16"/>
                <w:color w:val="auto"/>
              </w:rPr>
              <w:t xml:space="preserve">Organic Revenue </w:t>
            </w:r>
            <w:r>
              <w:rPr>
                <w:rFonts w:ascii="Times New Roman" w:cs="Times New Roman" w:eastAsia="Times New Roman" w:hAnsi="Times New Roman"/>
                <w:sz w:val="21"/>
                <w:szCs w:val="21"/>
                <w:color w:val="auto"/>
                <w:vertAlign w:val="superscript"/>
              </w:rPr>
              <w:t>(2)</w:t>
            </w: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615</w:t>
            </w: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80" w:type="dxa"/>
            <w:vAlign w:val="bottom"/>
            <w:gridSpan w:val="2"/>
          </w:tcPr>
          <w:p>
            <w:pPr>
              <w:spacing w:after="0" w:line="229" w:lineRule="exact"/>
              <w:rPr>
                <w:sz w:val="20"/>
                <w:szCs w:val="20"/>
                <w:color w:val="auto"/>
              </w:rPr>
            </w:pPr>
            <w:r>
              <w:rPr>
                <w:rFonts w:ascii="Times New Roman" w:cs="Times New Roman" w:eastAsia="Times New Roman" w:hAnsi="Times New Roman"/>
                <w:sz w:val="16"/>
                <w:szCs w:val="16"/>
                <w:color w:val="auto"/>
              </w:rPr>
              <w:t xml:space="preserve">Organic Revenue growth </w:t>
            </w:r>
            <w:r>
              <w:rPr>
                <w:rFonts w:ascii="Times New Roman" w:cs="Times New Roman" w:eastAsia="Times New Roman" w:hAnsi="Times New Roman"/>
                <w:sz w:val="21"/>
                <w:szCs w:val="21"/>
                <w:color w:val="auto"/>
                <w:vertAlign w:val="superscript"/>
              </w:rPr>
              <w:t>(2)</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spacing w:after="0" w:line="229" w:lineRule="exact"/>
              <w:rPr>
                <w:sz w:val="20"/>
                <w:szCs w:val="20"/>
                <w:color w:val="auto"/>
              </w:rPr>
            </w:pPr>
            <w:r>
              <w:rPr>
                <w:rFonts w:ascii="Times New Roman" w:cs="Times New Roman" w:eastAsia="Times New Roman" w:hAnsi="Times New Roman"/>
                <w:sz w:val="16"/>
                <w:szCs w:val="16"/>
                <w:color w:val="auto"/>
              </w:rPr>
              <w:t xml:space="preserve">Organic Revenue growth rate </w:t>
            </w:r>
            <w:r>
              <w:rPr>
                <w:rFonts w:ascii="Times New Roman" w:cs="Times New Roman" w:eastAsia="Times New Roman" w:hAnsi="Times New Roman"/>
                <w:sz w:val="21"/>
                <w:szCs w:val="21"/>
                <w:color w:val="auto"/>
                <w:vertAlign w:val="superscript"/>
              </w:rPr>
              <w:t>(2)</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7.3 %</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15.4 %</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11.0 %</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10.0 %</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160" w:firstLine="8"/>
        <w:spacing w:after="0" w:line="260"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segment includes commissions and fees reported in the “Other” column of the Segment Information in Note 12 of this 10-Q of the Notes to the Condensed Consolidated Financial Statements, which includes corporate and consolidation items.</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206" w:lineRule="exact"/>
        <w:rPr>
          <w:sz w:val="20"/>
          <w:szCs w:val="20"/>
          <w:color w:val="auto"/>
        </w:rPr>
      </w:pPr>
    </w:p>
    <w:p>
      <w:pPr>
        <w:ind w:right="400" w:firstLine="629"/>
        <w:spacing w:after="0" w:line="265" w:lineRule="auto"/>
        <w:rPr>
          <w:sz w:val="20"/>
          <w:szCs w:val="20"/>
          <w:color w:val="auto"/>
        </w:rPr>
      </w:pPr>
      <w:r>
        <w:rPr>
          <w:rFonts w:ascii="Times New Roman" w:cs="Times New Roman" w:eastAsia="Times New Roman" w:hAnsi="Times New Roman"/>
          <w:sz w:val="18"/>
          <w:szCs w:val="18"/>
          <w:color w:val="auto"/>
        </w:rPr>
        <w:t>The reconciliation of commissions and fees included in the Condensed Consolidated Statements of Income to Organic Revenue, a non-GAAP financial measure, for the three months ended June 30, 2023 and 2022, including by segment, and the growth rates for Organic Revenue for the three months ended June 30, 2023, including by segment,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Retail </w:t>
            </w:r>
            <w:r>
              <w:rPr>
                <w:rFonts w:ascii="Times New Roman" w:cs="Times New Roman" w:eastAsia="Times New Roman" w:hAnsi="Times New Roman"/>
                <w:sz w:val="21"/>
                <w:szCs w:val="21"/>
                <w:b w:val="1"/>
                <w:bCs w:val="1"/>
                <w:color w:val="auto"/>
                <w:vertAlign w:val="superscript"/>
              </w:rPr>
              <w:t>(1)</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Wholesale Brokerage</w:t>
            </w:r>
          </w:p>
        </w:tc>
        <w:tc>
          <w:tcPr>
            <w:tcW w:w="180" w:type="dxa"/>
            <w:vAlign w:val="bottom"/>
          </w:tcPr>
          <w:p>
            <w:pPr>
              <w:spacing w:after="0"/>
              <w:rPr>
                <w:sz w:val="20"/>
                <w:szCs w:val="20"/>
                <w:color w:val="auto"/>
              </w:rPr>
            </w:pPr>
          </w:p>
        </w:tc>
        <w:tc>
          <w:tcPr>
            <w:tcW w:w="112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 except percentages)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Commissions and fees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589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change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growth %</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23.7 %</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22.7 %</w:t>
            </w:r>
          </w:p>
        </w:tc>
        <w:tc>
          <w:tcPr>
            <w:tcW w:w="2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24.1 %</w:t>
            </w: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23.5 %</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Profit-sharing contingent</w:t>
            </w:r>
          </w:p>
        </w:tc>
        <w:tc>
          <w:tcPr>
            <w:tcW w:w="200" w:type="dxa"/>
            <w:vAlign w:val="bottom"/>
          </w:tcPr>
          <w:p>
            <w:pPr>
              <w:spacing w:after="0"/>
              <w:rPr>
                <w:sz w:val="17"/>
                <w:szCs w:val="17"/>
                <w:color w:val="auto"/>
              </w:rPr>
            </w:pPr>
          </w:p>
        </w:tc>
        <w:tc>
          <w:tcPr>
            <w:tcW w:w="9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(15 )</w:t>
            </w:r>
          </w:p>
        </w:tc>
        <w:tc>
          <w:tcPr>
            <w:tcW w:w="180" w:type="dxa"/>
            <w:vAlign w:val="bottom"/>
          </w:tcPr>
          <w:p>
            <w:pPr>
              <w:spacing w:after="0"/>
              <w:rPr>
                <w:sz w:val="17"/>
                <w:szCs w:val="17"/>
                <w:color w:val="auto"/>
              </w:rPr>
            </w:pPr>
          </w:p>
        </w:tc>
        <w:tc>
          <w:tcPr>
            <w:tcW w:w="8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(10 )</w:t>
            </w:r>
          </w:p>
        </w:tc>
        <w:tc>
          <w:tcPr>
            <w:tcW w:w="200" w:type="dxa"/>
            <w:vAlign w:val="bottom"/>
          </w:tcPr>
          <w:p>
            <w:pPr>
              <w:spacing w:after="0"/>
              <w:rPr>
                <w:sz w:val="17"/>
                <w:szCs w:val="17"/>
                <w:color w:val="auto"/>
              </w:rPr>
            </w:pP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(15 )</w:t>
            </w:r>
          </w:p>
        </w:tc>
        <w:tc>
          <w:tcPr>
            <w:tcW w:w="200" w:type="dxa"/>
            <w:vAlign w:val="bottom"/>
          </w:tcPr>
          <w:p>
            <w:pPr>
              <w:spacing w:after="0"/>
              <w:rPr>
                <w:sz w:val="17"/>
                <w:szCs w:val="17"/>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(10 )</w:t>
            </w:r>
          </w:p>
        </w:tc>
        <w:tc>
          <w:tcPr>
            <w:tcW w:w="160" w:type="dxa"/>
            <w:vAlign w:val="bottom"/>
          </w:tcPr>
          <w:p>
            <w:pPr>
              <w:spacing w:after="0"/>
              <w:rPr>
                <w:sz w:val="17"/>
                <w:szCs w:val="17"/>
                <w:color w:val="auto"/>
              </w:rPr>
            </w:pPr>
          </w:p>
        </w:tc>
        <w:tc>
          <w:tcPr>
            <w:tcW w:w="9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(3 )</w:t>
            </w:r>
          </w:p>
        </w:tc>
        <w:tc>
          <w:tcPr>
            <w:tcW w:w="160" w:type="dxa"/>
            <w:vAlign w:val="bottom"/>
          </w:tcPr>
          <w:p>
            <w:pPr>
              <w:spacing w:after="0"/>
              <w:rPr>
                <w:sz w:val="17"/>
                <w:szCs w:val="17"/>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(2 )</w:t>
            </w:r>
          </w:p>
        </w:tc>
        <w:tc>
          <w:tcPr>
            <w:tcW w:w="180" w:type="dxa"/>
            <w:vAlign w:val="bottom"/>
          </w:tcPr>
          <w:p>
            <w:pPr>
              <w:spacing w:after="0"/>
              <w:rPr>
                <w:sz w:val="17"/>
                <w:szCs w:val="17"/>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(33 )</w:t>
            </w:r>
          </w:p>
        </w:tc>
        <w:tc>
          <w:tcPr>
            <w:tcW w:w="180" w:type="dxa"/>
            <w:vAlign w:val="bottom"/>
          </w:tcPr>
          <w:p>
            <w:pPr>
              <w:spacing w:after="0"/>
              <w:rPr>
                <w:sz w:val="17"/>
                <w:szCs w:val="17"/>
                <w:color w:val="auto"/>
              </w:rPr>
            </w:pPr>
          </w:p>
        </w:tc>
        <w:tc>
          <w:tcPr>
            <w:tcW w:w="7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commissions</w:t>
            </w:r>
          </w:p>
        </w:tc>
        <w:tc>
          <w:tcPr>
            <w:tcW w:w="2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Core commissions and fees</w:t>
            </w: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1,003</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revenues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(87 )</w:t>
            </w:r>
          </w:p>
        </w:tc>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(8 )</w:t>
            </w: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(13 )</w:t>
            </w:r>
          </w:p>
        </w:tc>
        <w:tc>
          <w:tcPr>
            <w:tcW w:w="16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(108 )</w:t>
            </w:r>
          </w:p>
        </w:tc>
        <w:tc>
          <w:tcPr>
            <w:tcW w:w="1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9"/>
        </w:trPr>
        <w:tc>
          <w:tcPr>
            <w:tcW w:w="20" w:type="dxa"/>
            <w:vAlign w:val="bottom"/>
            <w:shd w:val="clear" w:color="auto" w:fill="CFF0FC"/>
          </w:tcPr>
          <w:p>
            <w:pPr>
              <w:spacing w:after="0"/>
              <w:rPr>
                <w:sz w:val="20"/>
                <w:szCs w:val="20"/>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Dispositions</w:t>
            </w:r>
          </w:p>
        </w:tc>
        <w:tc>
          <w:tcPr>
            <w:tcW w:w="20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(5 )</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(5 )</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(2 )</w:t>
            </w: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spacing w:after="0" w:line="229" w:lineRule="exact"/>
              <w:rPr>
                <w:sz w:val="20"/>
                <w:szCs w:val="20"/>
                <w:color w:val="auto"/>
              </w:rPr>
            </w:pPr>
            <w:r>
              <w:rPr>
                <w:rFonts w:ascii="Times New Roman" w:cs="Times New Roman" w:eastAsia="Times New Roman" w:hAnsi="Times New Roman"/>
                <w:sz w:val="16"/>
                <w:szCs w:val="16"/>
                <w:color w:val="auto"/>
              </w:rPr>
              <w:t xml:space="preserve">Organic Revenue </w:t>
            </w:r>
            <w:r>
              <w:rPr>
                <w:rFonts w:ascii="Times New Roman" w:cs="Times New Roman" w:eastAsia="Times New Roman" w:hAnsi="Times New Roman"/>
                <w:sz w:val="21"/>
                <w:szCs w:val="21"/>
                <w:color w:val="auto"/>
                <w:vertAlign w:val="superscript"/>
              </w:rPr>
              <w:t>(2)</w:t>
            </w: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895</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680" w:type="dxa"/>
            <w:vAlign w:val="bottom"/>
            <w:gridSpan w:val="2"/>
          </w:tcPr>
          <w:p>
            <w:pPr>
              <w:spacing w:after="0" w:line="229" w:lineRule="exact"/>
              <w:rPr>
                <w:sz w:val="20"/>
                <w:szCs w:val="20"/>
                <w:color w:val="auto"/>
              </w:rPr>
            </w:pPr>
            <w:r>
              <w:rPr>
                <w:rFonts w:ascii="Times New Roman" w:cs="Times New Roman" w:eastAsia="Times New Roman" w:hAnsi="Times New Roman"/>
                <w:sz w:val="16"/>
                <w:szCs w:val="16"/>
                <w:color w:val="auto"/>
              </w:rPr>
              <w:t xml:space="preserve">Organic Revenue growth </w:t>
            </w:r>
            <w:r>
              <w:rPr>
                <w:rFonts w:ascii="Times New Roman" w:cs="Times New Roman" w:eastAsia="Times New Roman" w:hAnsi="Times New Roman"/>
                <w:sz w:val="21"/>
                <w:szCs w:val="21"/>
                <w:color w:val="auto"/>
                <w:vertAlign w:val="superscript"/>
              </w:rPr>
              <w:t>(2)</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spacing w:after="0" w:line="229" w:lineRule="exact"/>
              <w:rPr>
                <w:sz w:val="20"/>
                <w:szCs w:val="20"/>
                <w:color w:val="auto"/>
              </w:rPr>
            </w:pPr>
            <w:r>
              <w:rPr>
                <w:rFonts w:ascii="Times New Roman" w:cs="Times New Roman" w:eastAsia="Times New Roman" w:hAnsi="Times New Roman"/>
                <w:sz w:val="16"/>
                <w:szCs w:val="16"/>
                <w:color w:val="auto"/>
              </w:rPr>
              <w:t xml:space="preserve">Organic Revenue growth rate </w:t>
            </w:r>
            <w:r>
              <w:rPr>
                <w:rFonts w:ascii="Times New Roman" w:cs="Times New Roman" w:eastAsia="Times New Roman" w:hAnsi="Times New Roman"/>
                <w:sz w:val="21"/>
                <w:szCs w:val="21"/>
                <w:color w:val="auto"/>
                <w:vertAlign w:val="superscript"/>
              </w:rPr>
              <w:t>(2)</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5.6 %</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20.8 %</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13.9 %</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11.2 %</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right="820" w:firstLine="8"/>
        <w:spacing w:after="0" w:line="26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segment includes commissions and fees reported in the “Other” column of the Segment Information in Note 12 of the Notes to the Condensed Consolidated Financial Statements, which includes corporate and consolidation items.</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0" w:name="page31"/>
    <w:bookmarkEnd w:id="30"/>
    <w:p>
      <w:pPr>
        <w:ind w:right="260" w:firstLine="629"/>
        <w:spacing w:after="0" w:line="265" w:lineRule="auto"/>
        <w:rPr>
          <w:sz w:val="20"/>
          <w:szCs w:val="20"/>
          <w:color w:val="auto"/>
        </w:rPr>
      </w:pPr>
      <w:r>
        <w:rPr>
          <w:rFonts w:ascii="Times New Roman" w:cs="Times New Roman" w:eastAsia="Times New Roman" w:hAnsi="Times New Roman"/>
          <w:sz w:val="18"/>
          <w:szCs w:val="18"/>
          <w:color w:val="auto"/>
        </w:rPr>
        <w:t>The reconciliation of commissions and fees included in the Condensed Consolidated Statements of Income to Organic Revenue, a non-GAAP financial measure, for the six months ended June 30, 2024 and 2023, including by segment, and the growth rates for Organic Revenue for the six months ended June 30, 2024, including by segment, are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Retail </w:t>
            </w:r>
            <w:r>
              <w:rPr>
                <w:rFonts w:ascii="Times New Roman" w:cs="Times New Roman" w:eastAsia="Times New Roman" w:hAnsi="Times New Roman"/>
                <w:sz w:val="21"/>
                <w:szCs w:val="21"/>
                <w:b w:val="1"/>
                <w:bCs w:val="1"/>
                <w:color w:val="auto"/>
                <w:vertAlign w:val="superscript"/>
              </w:rPr>
              <w:t>(1)</w:t>
            </w:r>
          </w:p>
        </w:tc>
        <w:tc>
          <w:tcPr>
            <w:tcW w:w="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6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Wholesale Brokerage</w:t>
            </w:r>
          </w:p>
        </w:tc>
        <w:tc>
          <w:tcPr>
            <w:tcW w:w="180" w:type="dxa"/>
            <w:vAlign w:val="bottom"/>
          </w:tcPr>
          <w:p>
            <w:pPr>
              <w:spacing w:after="0"/>
              <w:rPr>
                <w:sz w:val="21"/>
                <w:szCs w:val="21"/>
                <w:color w:val="auto"/>
              </w:rPr>
            </w:pPr>
          </w:p>
        </w:tc>
        <w:tc>
          <w:tcPr>
            <w:tcW w:w="112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 except percentages)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9"/>
                <w:szCs w:val="19"/>
                <w:color w:val="auto"/>
              </w:rPr>
            </w:pPr>
          </w:p>
        </w:tc>
      </w:tr>
      <w:tr>
        <w:trPr>
          <w:trHeight w:val="226"/>
        </w:trPr>
        <w:tc>
          <w:tcPr>
            <w:tcW w:w="2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Commissions and fees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100" w:type="dxa"/>
            <w:vAlign w:val="bottom"/>
            <w:shd w:val="clear" w:color="auto" w:fill="CFF0FC"/>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change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20" w:type="dxa"/>
            <w:vAlign w:val="bottom"/>
            <w:shd w:val="clear" w:color="auto" w:fill="CFF0FC"/>
          </w:tcPr>
          <w:p>
            <w:pPr>
              <w:spacing w:after="0"/>
              <w:rPr>
                <w:sz w:val="20"/>
                <w:szCs w:val="20"/>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growth %</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9.5 %</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14.8 %</w:t>
            </w:r>
          </w:p>
        </w:tc>
        <w:tc>
          <w:tcPr>
            <w:tcW w:w="2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14.1 %</w:t>
            </w: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11.5 %</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Profit-sharing contingent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commissions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(21 )</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(30 )</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(51 )</w:t>
            </w: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(23 )</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(10 )</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(7 )</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(82 )</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(60 )</w:t>
            </w:r>
          </w:p>
        </w:tc>
      </w:tr>
      <w:tr>
        <w:trPr>
          <w:trHeight w:val="229"/>
        </w:trPr>
        <w:tc>
          <w:tcPr>
            <w:tcW w:w="20" w:type="dxa"/>
            <w:vAlign w:val="bottom"/>
            <w:tcBorders>
              <w:top w:val="single" w:sz="8" w:color="CFF0FC"/>
            </w:tcBorders>
            <w:shd w:val="clear" w:color="auto" w:fill="CFF0FC"/>
          </w:tcPr>
          <w:p>
            <w:pPr>
              <w:spacing w:after="0"/>
              <w:rPr>
                <w:sz w:val="19"/>
                <w:szCs w:val="19"/>
                <w:color w:val="auto"/>
              </w:rPr>
            </w:pPr>
          </w:p>
        </w:tc>
        <w:tc>
          <w:tcPr>
            <w:tcW w:w="26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Core commissions and fees</w:t>
            </w: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594</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2,308</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(39 )</w:t>
            </w:r>
          </w:p>
        </w:tc>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(40 )</w:t>
            </w: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(6 )</w:t>
            </w:r>
          </w:p>
        </w:tc>
        <w:tc>
          <w:tcPr>
            <w:tcW w:w="16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(85 )</w:t>
            </w:r>
          </w:p>
        </w:tc>
        <w:tc>
          <w:tcPr>
            <w:tcW w:w="1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20" w:type="dxa"/>
            <w:vAlign w:val="bottom"/>
            <w:shd w:val="clear" w:color="auto" w:fill="CFF0FC"/>
          </w:tcPr>
          <w:p>
            <w:pPr>
              <w:spacing w:after="0"/>
              <w:rPr>
                <w:sz w:val="20"/>
                <w:szCs w:val="20"/>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Dispositions</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(3 )</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(51 )</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(55 )</w:t>
            </w:r>
          </w:p>
        </w:tc>
      </w:tr>
      <w:tr>
        <w:trPr>
          <w:trHeight w:val="223"/>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r>
      <w:tr>
        <w:trPr>
          <w:trHeight w:val="229"/>
        </w:trPr>
        <w:tc>
          <w:tcPr>
            <w:tcW w:w="2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spacing w:after="0" w:line="229" w:lineRule="exact"/>
              <w:rPr>
                <w:sz w:val="20"/>
                <w:szCs w:val="20"/>
                <w:color w:val="auto"/>
              </w:rPr>
            </w:pPr>
            <w:r>
              <w:rPr>
                <w:rFonts w:ascii="Times New Roman" w:cs="Times New Roman" w:eastAsia="Times New Roman" w:hAnsi="Times New Roman"/>
                <w:sz w:val="16"/>
                <w:szCs w:val="16"/>
                <w:color w:val="auto"/>
              </w:rPr>
              <w:t xml:space="preserve">Organic Revenue </w:t>
            </w:r>
            <w:r>
              <w:rPr>
                <w:rFonts w:ascii="Times New Roman" w:cs="Times New Roman" w:eastAsia="Times New Roman" w:hAnsi="Times New Roman"/>
                <w:sz w:val="21"/>
                <w:szCs w:val="21"/>
                <w:color w:val="auto"/>
                <w:vertAlign w:val="superscript"/>
              </w:rPr>
              <w:t>(2)</w:t>
            </w: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1,386</w:t>
            </w: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2,223</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680" w:type="dxa"/>
            <w:vAlign w:val="bottom"/>
            <w:gridSpan w:val="2"/>
          </w:tcPr>
          <w:p>
            <w:pPr>
              <w:spacing w:after="0" w:line="229" w:lineRule="exact"/>
              <w:rPr>
                <w:sz w:val="20"/>
                <w:szCs w:val="20"/>
                <w:color w:val="auto"/>
              </w:rPr>
            </w:pPr>
            <w:r>
              <w:rPr>
                <w:rFonts w:ascii="Times New Roman" w:cs="Times New Roman" w:eastAsia="Times New Roman" w:hAnsi="Times New Roman"/>
                <w:sz w:val="16"/>
                <w:szCs w:val="16"/>
                <w:color w:val="auto"/>
              </w:rPr>
              <w:t xml:space="preserve">Organic Revenue growth </w:t>
            </w:r>
            <w:r>
              <w:rPr>
                <w:rFonts w:ascii="Times New Roman" w:cs="Times New Roman" w:eastAsia="Times New Roman" w:hAnsi="Times New Roman"/>
                <w:sz w:val="21"/>
                <w:szCs w:val="21"/>
                <w:color w:val="auto"/>
                <w:vertAlign w:val="superscript"/>
              </w:rPr>
              <w:t>(2)</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spacing w:after="0" w:line="229" w:lineRule="exact"/>
              <w:rPr>
                <w:sz w:val="20"/>
                <w:szCs w:val="20"/>
                <w:color w:val="auto"/>
              </w:rPr>
            </w:pPr>
            <w:r>
              <w:rPr>
                <w:rFonts w:ascii="Times New Roman" w:cs="Times New Roman" w:eastAsia="Times New Roman" w:hAnsi="Times New Roman"/>
                <w:sz w:val="16"/>
                <w:szCs w:val="16"/>
                <w:color w:val="auto"/>
              </w:rPr>
              <w:t xml:space="preserve">Organic Revenue growth % </w:t>
            </w:r>
            <w:r>
              <w:rPr>
                <w:rFonts w:ascii="Times New Roman" w:cs="Times New Roman" w:eastAsia="Times New Roman" w:hAnsi="Times New Roman"/>
                <w:sz w:val="21"/>
                <w:szCs w:val="21"/>
                <w:color w:val="auto"/>
                <w:vertAlign w:val="superscript"/>
              </w:rPr>
              <w:t>(2)</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7.4 %</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13.5 %</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11.0 %</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9.3 %</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-1035685</wp:posOffset>
            </wp:positionV>
            <wp:extent cx="7683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-1035685</wp:posOffset>
            </wp:positionV>
            <wp:extent cx="768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-1035685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-1035685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-1035685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-1035685</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-1035685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20" w:firstLine="8"/>
        <w:spacing w:after="0" w:line="260" w:lineRule="auto"/>
        <w:tabs>
          <w:tab w:leader="none" w:pos="2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segment includes commissions and fees reported in the “Other” column of the Segment Information in Note 12 of the Notes to the Condensed Consolidated Financial Statements, which includes corporate and consolidation items.</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206" w:lineRule="exact"/>
        <w:rPr>
          <w:sz w:val="20"/>
          <w:szCs w:val="20"/>
          <w:color w:val="auto"/>
        </w:rPr>
      </w:pPr>
    </w:p>
    <w:p>
      <w:pPr>
        <w:ind w:right="260" w:firstLine="629"/>
        <w:spacing w:after="0" w:line="265" w:lineRule="auto"/>
        <w:rPr>
          <w:sz w:val="20"/>
          <w:szCs w:val="20"/>
          <w:color w:val="auto"/>
        </w:rPr>
      </w:pPr>
      <w:r>
        <w:rPr>
          <w:rFonts w:ascii="Times New Roman" w:cs="Times New Roman" w:eastAsia="Times New Roman" w:hAnsi="Times New Roman"/>
          <w:sz w:val="18"/>
          <w:szCs w:val="18"/>
          <w:color w:val="auto"/>
        </w:rPr>
        <w:t>The reconciliation of commissions and fees included in the Condensed Consolidated Statements of Income to Organic Revenue, a non-GAAP financial measure, for the six months ended June 30, 2023 and 2022, including by segment, and the growth rates for Organic Revenue for the six months ended June 30, 2023, including by segment, are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2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 xml:space="preserve">Retail </w:t>
            </w:r>
            <w:r>
              <w:rPr>
                <w:rFonts w:ascii="Times New Roman" w:cs="Times New Roman" w:eastAsia="Times New Roman" w:hAnsi="Times New Roman"/>
                <w:sz w:val="21"/>
                <w:szCs w:val="21"/>
                <w:b w:val="1"/>
                <w:bCs w:val="1"/>
                <w:color w:val="auto"/>
                <w:vertAlign w:val="superscript"/>
              </w:rPr>
              <w:t>(1)</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Wholesale Brokerage</w:t>
            </w:r>
          </w:p>
        </w:tc>
        <w:tc>
          <w:tcPr>
            <w:tcW w:w="180" w:type="dxa"/>
            <w:vAlign w:val="bottom"/>
          </w:tcPr>
          <w:p>
            <w:pPr>
              <w:spacing w:after="0"/>
              <w:rPr>
                <w:sz w:val="20"/>
                <w:szCs w:val="20"/>
                <w:color w:val="auto"/>
              </w:rPr>
            </w:pPr>
          </w:p>
        </w:tc>
        <w:tc>
          <w:tcPr>
            <w:tcW w:w="112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
        </w:trPr>
        <w:tc>
          <w:tcPr>
            <w:tcW w:w="20" w:type="dxa"/>
            <w:vAlign w:val="bottom"/>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0"/>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millions, except percentages)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r>
      <w:tr>
        <w:trPr>
          <w:trHeight w:val="226"/>
        </w:trPr>
        <w:tc>
          <w:tcPr>
            <w:tcW w:w="2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Commissions and fees</w:t>
            </w:r>
          </w:p>
        </w:tc>
        <w:tc>
          <w:tcPr>
            <w:tcW w:w="2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1,744</w:t>
            </w:r>
          </w:p>
        </w:tc>
        <w:tc>
          <w:tcPr>
            <w:tcW w:w="100" w:type="dxa"/>
            <w:vAlign w:val="bottom"/>
            <w:shd w:val="clear" w:color="auto" w:fill="CFF0FC"/>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change</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9"/>
        </w:trPr>
        <w:tc>
          <w:tcPr>
            <w:tcW w:w="20" w:type="dxa"/>
            <w:vAlign w:val="bottom"/>
            <w:shd w:val="clear" w:color="auto" w:fill="CFF0FC"/>
          </w:tcPr>
          <w:p>
            <w:pPr>
              <w:spacing w:after="0"/>
              <w:rPr>
                <w:sz w:val="20"/>
                <w:szCs w:val="20"/>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 growth %</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21.0 %</w:t>
            </w:r>
          </w:p>
        </w:tc>
        <w:tc>
          <w:tcPr>
            <w:tcW w:w="18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28.3 %</w:t>
            </w:r>
          </w:p>
        </w:tc>
        <w:tc>
          <w:tcPr>
            <w:tcW w:w="2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21.9 %</w:t>
            </w: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22.9 %</w:t>
            </w:r>
          </w:p>
        </w:tc>
        <w:tc>
          <w:tcPr>
            <w:tcW w:w="18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Profit-sharing contingent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268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commissions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(30 )</w:t>
            </w: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(27 )</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(23 )</w:t>
            </w: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(18 )</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(7 )</w:t>
            </w:r>
          </w:p>
        </w:tc>
        <w:tc>
          <w:tcPr>
            <w:tcW w:w="16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(6 )</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(60 )</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(51 )</w:t>
            </w:r>
          </w:p>
        </w:tc>
      </w:tr>
      <w:tr>
        <w:trPr>
          <w:trHeight w:val="229"/>
        </w:trPr>
        <w:tc>
          <w:tcPr>
            <w:tcW w:w="20" w:type="dxa"/>
            <w:vAlign w:val="bottom"/>
            <w:tcBorders>
              <w:top w:val="single" w:sz="8" w:color="CFF0FC"/>
            </w:tcBorders>
            <w:shd w:val="clear" w:color="auto" w:fill="CFF0FC"/>
          </w:tcPr>
          <w:p>
            <w:pPr>
              <w:spacing w:after="0"/>
              <w:rPr>
                <w:sz w:val="19"/>
                <w:szCs w:val="19"/>
                <w:color w:val="auto"/>
              </w:rPr>
            </w:pPr>
          </w:p>
        </w:tc>
        <w:tc>
          <w:tcPr>
            <w:tcW w:w="2680" w:type="dxa"/>
            <w:vAlign w:val="bottom"/>
            <w:tcBorders>
              <w:top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Core commissions and fees</w:t>
            </w: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1,064</w:t>
            </w:r>
          </w:p>
        </w:tc>
        <w:tc>
          <w:tcPr>
            <w:tcW w:w="2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0"/>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Acquisition revenues</w:t>
            </w: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(166 )</w:t>
            </w:r>
          </w:p>
        </w:tc>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(28 )</w:t>
            </w:r>
          </w:p>
        </w:tc>
        <w:tc>
          <w:tcPr>
            <w:tcW w:w="20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(28 )</w:t>
            </w:r>
          </w:p>
        </w:tc>
        <w:tc>
          <w:tcPr>
            <w:tcW w:w="16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(222 )</w:t>
            </w:r>
          </w:p>
        </w:tc>
        <w:tc>
          <w:tcPr>
            <w:tcW w:w="18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20" w:type="dxa"/>
            <w:vAlign w:val="bottom"/>
            <w:shd w:val="clear" w:color="auto" w:fill="CFF0FC"/>
          </w:tcPr>
          <w:p>
            <w:pPr>
              <w:spacing w:after="0"/>
              <w:rPr>
                <w:sz w:val="20"/>
                <w:szCs w:val="20"/>
                <w:color w:val="auto"/>
              </w:rPr>
            </w:pPr>
          </w:p>
        </w:tc>
        <w:tc>
          <w:tcPr>
            <w:tcW w:w="2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Dispositions</w:t>
            </w:r>
          </w:p>
        </w:tc>
        <w:tc>
          <w:tcPr>
            <w:tcW w:w="20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(14 )</w:t>
            </w:r>
          </w:p>
        </w:tc>
        <w:tc>
          <w:tcPr>
            <w:tcW w:w="20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(10 )</w:t>
            </w:r>
          </w:p>
        </w:tc>
        <w:tc>
          <w:tcPr>
            <w:tcW w:w="16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(4 )</w:t>
            </w:r>
          </w:p>
        </w:tc>
        <w:tc>
          <w:tcPr>
            <w:tcW w:w="180" w:type="dxa"/>
            <w:vAlign w:val="bottom"/>
            <w:shd w:val="clear" w:color="auto" w:fill="CFF0FC"/>
          </w:tcPr>
          <w:p>
            <w:pPr>
              <w:spacing w:after="0"/>
              <w:rPr>
                <w:sz w:val="20"/>
                <w:szCs w:val="20"/>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20"/>
                <w:szCs w:val="20"/>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(28 )</w:t>
            </w:r>
          </w:p>
        </w:tc>
      </w:tr>
      <w:tr>
        <w:trPr>
          <w:trHeight w:val="223"/>
        </w:trPr>
        <w:tc>
          <w:tcPr>
            <w:tcW w:w="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0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(1 )</w:t>
            </w:r>
          </w:p>
        </w:tc>
        <w:tc>
          <w:tcPr>
            <w:tcW w:w="16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r>
      <w:tr>
        <w:trPr>
          <w:trHeight w:val="229"/>
        </w:trPr>
        <w:tc>
          <w:tcPr>
            <w:tcW w:w="2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spacing w:after="0" w:line="229" w:lineRule="exact"/>
              <w:rPr>
                <w:sz w:val="20"/>
                <w:szCs w:val="20"/>
                <w:color w:val="auto"/>
              </w:rPr>
            </w:pPr>
            <w:r>
              <w:rPr>
                <w:rFonts w:ascii="Times New Roman" w:cs="Times New Roman" w:eastAsia="Times New Roman" w:hAnsi="Times New Roman"/>
                <w:sz w:val="16"/>
                <w:szCs w:val="16"/>
                <w:color w:val="auto"/>
              </w:rPr>
              <w:t xml:space="preserve">Organic Revenue </w:t>
            </w:r>
            <w:r>
              <w:rPr>
                <w:rFonts w:ascii="Times New Roman" w:cs="Times New Roman" w:eastAsia="Times New Roman" w:hAnsi="Times New Roman"/>
                <w:sz w:val="21"/>
                <w:szCs w:val="21"/>
                <w:color w:val="auto"/>
                <w:vertAlign w:val="superscript"/>
              </w:rPr>
              <w:t>(2)</w:t>
            </w:r>
          </w:p>
        </w:tc>
        <w:tc>
          <w:tcPr>
            <w:tcW w:w="20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1,124</w:t>
            </w:r>
          </w:p>
        </w:tc>
        <w:tc>
          <w:tcPr>
            <w:tcW w:w="24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24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511</w:t>
            </w:r>
          </w:p>
        </w:tc>
        <w:tc>
          <w:tcPr>
            <w:tcW w:w="22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2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1,862</w:t>
            </w:r>
          </w:p>
        </w:tc>
        <w:tc>
          <w:tcPr>
            <w:tcW w:w="2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1,664</w:t>
            </w:r>
          </w:p>
        </w:tc>
        <w:tc>
          <w:tcPr>
            <w:tcW w:w="100" w:type="dxa"/>
            <w:vAlign w:val="bottom"/>
            <w:shd w:val="clear" w:color="auto" w:fill="CFF0FC"/>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2680" w:type="dxa"/>
            <w:vAlign w:val="bottom"/>
            <w:gridSpan w:val="2"/>
          </w:tcPr>
          <w:p>
            <w:pPr>
              <w:spacing w:after="0" w:line="229" w:lineRule="exact"/>
              <w:rPr>
                <w:sz w:val="20"/>
                <w:szCs w:val="20"/>
                <w:color w:val="auto"/>
              </w:rPr>
            </w:pPr>
            <w:r>
              <w:rPr>
                <w:rFonts w:ascii="Times New Roman" w:cs="Times New Roman" w:eastAsia="Times New Roman" w:hAnsi="Times New Roman"/>
                <w:sz w:val="16"/>
                <w:szCs w:val="16"/>
                <w:color w:val="auto"/>
              </w:rPr>
              <w:t xml:space="preserve">Organic Revenue growth </w:t>
            </w:r>
            <w:r>
              <w:rPr>
                <w:rFonts w:ascii="Times New Roman" w:cs="Times New Roman" w:eastAsia="Times New Roman" w:hAnsi="Times New Roman"/>
                <w:sz w:val="21"/>
                <w:szCs w:val="21"/>
                <w:color w:val="auto"/>
                <w:vertAlign w:val="superscript"/>
              </w:rPr>
              <w:t>(2)</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shd w:val="clear" w:color="auto" w:fill="CFF0FC"/>
          </w:tcPr>
          <w:p>
            <w:pPr>
              <w:spacing w:after="0"/>
              <w:rPr>
                <w:sz w:val="19"/>
                <w:szCs w:val="19"/>
                <w:color w:val="auto"/>
              </w:rPr>
            </w:pPr>
          </w:p>
        </w:tc>
        <w:tc>
          <w:tcPr>
            <w:tcW w:w="2680" w:type="dxa"/>
            <w:vAlign w:val="bottom"/>
            <w:gridSpan w:val="2"/>
            <w:shd w:val="clear" w:color="auto" w:fill="CFF0FC"/>
          </w:tcPr>
          <w:p>
            <w:pPr>
              <w:spacing w:after="0" w:line="229" w:lineRule="exact"/>
              <w:rPr>
                <w:sz w:val="20"/>
                <w:szCs w:val="20"/>
                <w:color w:val="auto"/>
              </w:rPr>
            </w:pPr>
            <w:r>
              <w:rPr>
                <w:rFonts w:ascii="Times New Roman" w:cs="Times New Roman" w:eastAsia="Times New Roman" w:hAnsi="Times New Roman"/>
                <w:sz w:val="16"/>
                <w:szCs w:val="16"/>
                <w:color w:val="auto"/>
              </w:rPr>
              <w:t xml:space="preserve">Organic Revenue growth % </w:t>
            </w:r>
            <w:r>
              <w:rPr>
                <w:rFonts w:ascii="Times New Roman" w:cs="Times New Roman" w:eastAsia="Times New Roman" w:hAnsi="Times New Roman"/>
                <w:sz w:val="21"/>
                <w:szCs w:val="21"/>
                <w:color w:val="auto"/>
                <w:vertAlign w:val="superscript"/>
              </w:rPr>
              <w:t>(2)</w:t>
            </w: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7.0 %</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24.9 %</w:t>
            </w:r>
          </w:p>
        </w:tc>
        <w:tc>
          <w:tcPr>
            <w:tcW w:w="2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10.7 %</w:t>
            </w:r>
          </w:p>
        </w:tc>
        <w:tc>
          <w:tcPr>
            <w:tcW w:w="16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11.9 %</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2299970</wp:posOffset>
            </wp:positionH>
            <wp:positionV relativeFrom="paragraph">
              <wp:posOffset>-1035685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2967355</wp:posOffset>
            </wp:positionH>
            <wp:positionV relativeFrom="paragraph">
              <wp:posOffset>-1035685</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3712210</wp:posOffset>
            </wp:positionH>
            <wp:positionV relativeFrom="paragraph">
              <wp:posOffset>-1035685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4345940</wp:posOffset>
            </wp:positionH>
            <wp:positionV relativeFrom="paragraph">
              <wp:posOffset>-1035685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5056505</wp:posOffset>
            </wp:positionH>
            <wp:positionV relativeFrom="paragraph">
              <wp:posOffset>-1035685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5690235</wp:posOffset>
            </wp:positionH>
            <wp:positionV relativeFrom="paragraph">
              <wp:posOffset>-1035685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-1035685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-1035685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ind w:right="820" w:firstLine="8"/>
        <w:spacing w:after="0" w:line="260" w:lineRule="auto"/>
        <w:tabs>
          <w:tab w:leader="none" w:pos="2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Retail segment includes commissions and fees reported in the “Other” column of the Segment Information in Note 12 of the Notes to the Condensed Consolidated Financial Statements, which includes corporate and consolidation items.</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1" w:name="page32"/>
    <w:bookmarkEnd w:id="31"/>
    <w:p>
      <w:pPr>
        <w:ind w:right="360" w:firstLine="494"/>
        <w:spacing w:after="0" w:line="265" w:lineRule="auto"/>
        <w:rPr>
          <w:sz w:val="20"/>
          <w:szCs w:val="20"/>
          <w:color w:val="auto"/>
        </w:rPr>
      </w:pPr>
      <w:r>
        <w:rPr>
          <w:rFonts w:ascii="Times New Roman" w:cs="Times New Roman" w:eastAsia="Times New Roman" w:hAnsi="Times New Roman"/>
          <w:sz w:val="18"/>
          <w:szCs w:val="18"/>
          <w:color w:val="auto"/>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three months ended June 30, 2024, including by segment, is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6"/>
                <w:szCs w:val="16"/>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80" w:type="dxa"/>
            <w:vAlign w:val="bottom"/>
          </w:tcPr>
          <w:p>
            <w:pPr>
              <w:spacing w:after="0"/>
              <w:rPr>
                <w:sz w:val="16"/>
                <w:szCs w:val="16"/>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240" w:type="dxa"/>
            <w:vAlign w:val="bottom"/>
          </w:tcPr>
          <w:p>
            <w:pPr>
              <w:spacing w:after="0"/>
              <w:rPr>
                <w:sz w:val="16"/>
                <w:szCs w:val="16"/>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6"/>
                <w:szCs w:val="16"/>
                <w:color w:val="auto"/>
              </w:rPr>
            </w:pPr>
          </w:p>
        </w:tc>
        <w:tc>
          <w:tcPr>
            <w:tcW w:w="10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2"/>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30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Income Before Income Taxes Margin</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20.0 %</w:t>
            </w:r>
          </w:p>
        </w:tc>
        <w:tc>
          <w:tcPr>
            <w:tcW w:w="18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51.0 %</w:t>
            </w:r>
          </w:p>
        </w:tc>
        <w:tc>
          <w:tcPr>
            <w:tcW w:w="18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29.6 %</w:t>
            </w:r>
          </w:p>
        </w:tc>
        <w:tc>
          <w:tcPr>
            <w:tcW w:w="2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29.4 %</w:t>
            </w:r>
          </w:p>
        </w:tc>
        <w:tc>
          <w:tcPr>
            <w:tcW w:w="0" w:type="dxa"/>
            <w:vAlign w:val="bottom"/>
          </w:tcPr>
          <w:p>
            <w:pPr>
              <w:spacing w:after="0"/>
              <w:rPr>
                <w:sz w:val="1"/>
                <w:szCs w:val="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estimated acquisition</w:t>
            </w:r>
          </w:p>
        </w:tc>
        <w:tc>
          <w:tcPr>
            <w:tcW w:w="26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shd w:val="clear" w:color="auto" w:fill="CFF0FC"/>
          </w:tcPr>
          <w:p>
            <w:pPr>
              <w:spacing w:after="0"/>
              <w:rPr>
                <w:sz w:val="18"/>
                <w:szCs w:val="18"/>
                <w:color w:val="auto"/>
              </w:rPr>
            </w:pPr>
          </w:p>
        </w:tc>
        <w:tc>
          <w:tcPr>
            <w:tcW w:w="11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earn-out payables</w:t>
            </w:r>
          </w:p>
        </w:tc>
        <w:tc>
          <w:tcPr>
            <w:tcW w:w="26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300" w:type="dxa"/>
            <w:vAlign w:val="bottom"/>
            <w:tcBorders>
              <w:top w:val="single" w:sz="8" w:color="CFF0FC"/>
            </w:tcBorders>
          </w:tcPr>
          <w:p>
            <w:pPr>
              <w:ind w:left="20"/>
              <w:spacing w:after="0" w:line="211" w:lineRule="exact"/>
              <w:rPr>
                <w:sz w:val="20"/>
                <w:szCs w:val="20"/>
                <w:color w:val="auto"/>
              </w:rPr>
            </w:pPr>
            <w:r>
              <w:rPr>
                <w:rFonts w:ascii="Times New Roman" w:cs="Times New Roman" w:eastAsia="Times New Roman" w:hAnsi="Times New Roman"/>
                <w:sz w:val="18"/>
                <w:szCs w:val="18"/>
                <w:color w:val="auto"/>
              </w:rPr>
              <w:t>EBITDAC</w:t>
            </w:r>
            <w:r>
              <w:rPr>
                <w:rFonts w:ascii="Times New Roman" w:cs="Times New Roman" w:eastAsia="Times New Roman" w:hAnsi="Times New Roman"/>
                <w:sz w:val="24"/>
                <w:szCs w:val="24"/>
                <w:color w:val="auto"/>
                <w:vertAlign w:val="superscript"/>
              </w:rPr>
              <w:t>(2)</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30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EBITDAC Margin</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28.3 %</w:t>
            </w:r>
          </w:p>
        </w:tc>
        <w:tc>
          <w:tcPr>
            <w:tcW w:w="18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57.7 %</w:t>
            </w:r>
          </w:p>
        </w:tc>
        <w:tc>
          <w:tcPr>
            <w:tcW w:w="18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33.3 %</w:t>
            </w:r>
          </w:p>
        </w:tc>
        <w:tc>
          <w:tcPr>
            <w:tcW w:w="2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38.3 %</w:t>
            </w:r>
          </w:p>
        </w:tc>
        <w:tc>
          <w:tcPr>
            <w:tcW w:w="0" w:type="dxa"/>
            <w:vAlign w:val="bottom"/>
          </w:tcPr>
          <w:p>
            <w:pPr>
              <w:spacing w:after="0"/>
              <w:rPr>
                <w:sz w:val="1"/>
                <w:szCs w:val="1"/>
                <w:color w:val="auto"/>
              </w:rPr>
            </w:pPr>
          </w:p>
        </w:tc>
      </w:tr>
      <w:tr>
        <w:trPr>
          <w:trHeight w:val="238"/>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(Gain)/loss on disposal</w:t>
            </w: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(29 )</w:t>
            </w:r>
          </w:p>
        </w:tc>
        <w:tc>
          <w:tcPr>
            <w:tcW w:w="1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Borders>
              <w:top w:val="single" w:sz="8" w:color="CFF0FC"/>
            </w:tcBorders>
            <w:shd w:val="clear" w:color="auto" w:fill="CFF0FC"/>
          </w:tcPr>
          <w:p>
            <w:pPr>
              <w:ind w:left="120"/>
              <w:spacing w:after="0" w:line="241" w:lineRule="exact"/>
              <w:rPr>
                <w:sz w:val="20"/>
                <w:szCs w:val="20"/>
                <w:color w:val="auto"/>
              </w:rPr>
            </w:pPr>
            <w:r>
              <w:rPr>
                <w:rFonts w:ascii="Times New Roman" w:cs="Times New Roman" w:eastAsia="Times New Roman" w:hAnsi="Times New Roman"/>
                <w:sz w:val="18"/>
                <w:szCs w:val="18"/>
                <w:color w:val="auto"/>
              </w:rPr>
              <w:t>EBITDAC - Adjusted</w:t>
            </w:r>
            <w:r>
              <w:rPr>
                <w:rFonts w:ascii="Times New Roman" w:cs="Times New Roman" w:eastAsia="Times New Roman" w:hAnsi="Times New Roman"/>
                <w:sz w:val="24"/>
                <w:szCs w:val="24"/>
                <w:color w:val="auto"/>
                <w:vertAlign w:val="superscript"/>
              </w:rPr>
              <w:t>(2)</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8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top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EBITDAC Margin - Adjusted</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28.0 %</w:t>
            </w:r>
          </w:p>
        </w:tc>
        <w:tc>
          <w:tcPr>
            <w:tcW w:w="18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49.6 %</w:t>
            </w:r>
          </w:p>
        </w:tc>
        <w:tc>
          <w:tcPr>
            <w:tcW w:w="18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33.3 %</w:t>
            </w:r>
          </w:p>
        </w:tc>
        <w:tc>
          <w:tcPr>
            <w:tcW w:w="24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-1732915</wp:posOffset>
            </wp:positionV>
            <wp:extent cx="7132320" cy="1543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-671195</wp:posOffset>
            </wp:positionV>
            <wp:extent cx="7132320" cy="1543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-1895475</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-1895475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-1895475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-1895475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-1895475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-833755</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-833755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-833755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-833755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-833755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-362585</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-362585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-362585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-362585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-362585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8" w:lineRule="exact"/>
        <w:rPr>
          <w:sz w:val="20"/>
          <w:szCs w:val="20"/>
          <w:color w:val="auto"/>
        </w:rPr>
      </w:pPr>
    </w:p>
    <w:p>
      <w:pPr>
        <w:ind w:right="360" w:firstLine="494"/>
        <w:spacing w:after="0" w:line="265" w:lineRule="auto"/>
        <w:rPr>
          <w:sz w:val="20"/>
          <w:szCs w:val="20"/>
          <w:color w:val="auto"/>
        </w:rPr>
      </w:pPr>
      <w:r>
        <w:rPr>
          <w:rFonts w:ascii="Times New Roman" w:cs="Times New Roman" w:eastAsia="Times New Roman" w:hAnsi="Times New Roman"/>
          <w:sz w:val="18"/>
          <w:szCs w:val="18"/>
          <w:color w:val="auto"/>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three months ended June 30, 2023, including by segment,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6"/>
                <w:szCs w:val="16"/>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80" w:type="dxa"/>
            <w:vAlign w:val="bottom"/>
          </w:tcPr>
          <w:p>
            <w:pPr>
              <w:spacing w:after="0"/>
              <w:rPr>
                <w:sz w:val="16"/>
                <w:szCs w:val="16"/>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240" w:type="dxa"/>
            <w:vAlign w:val="bottom"/>
          </w:tcPr>
          <w:p>
            <w:pPr>
              <w:spacing w:after="0"/>
              <w:rPr>
                <w:sz w:val="16"/>
                <w:szCs w:val="16"/>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6"/>
                <w:szCs w:val="16"/>
                <w:color w:val="auto"/>
              </w:rPr>
            </w:pPr>
          </w:p>
        </w:tc>
        <w:tc>
          <w:tcPr>
            <w:tcW w:w="10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2"/>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30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38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180"/>
              <w:spacing w:after="0" w:line="202" w:lineRule="exact"/>
              <w:rPr>
                <w:sz w:val="20"/>
                <w:szCs w:val="20"/>
                <w:color w:val="auto"/>
              </w:rPr>
            </w:pPr>
            <w:r>
              <w:rPr>
                <w:rFonts w:ascii="Times New Roman" w:cs="Times New Roman" w:eastAsia="Times New Roman" w:hAnsi="Times New Roman"/>
                <w:sz w:val="18"/>
                <w:szCs w:val="18"/>
                <w:color w:val="auto"/>
              </w:rPr>
              <w:t>(14 )</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 Margin</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17.9 %</w:t>
            </w:r>
          </w:p>
        </w:tc>
        <w:tc>
          <w:tcPr>
            <w:tcW w:w="18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40.0 %</w:t>
            </w:r>
          </w:p>
        </w:tc>
        <w:tc>
          <w:tcPr>
            <w:tcW w:w="18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27.3 %</w:t>
            </w:r>
          </w:p>
        </w:tc>
        <w:tc>
          <w:tcPr>
            <w:tcW w:w="24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0" w:type="dxa"/>
            <w:vAlign w:val="bottom"/>
          </w:tcPr>
          <w:p>
            <w:pPr>
              <w:spacing w:after="0"/>
              <w:rPr>
                <w:sz w:val="1"/>
                <w:szCs w:val="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estimated acquisition</w:t>
            </w:r>
          </w:p>
        </w:tc>
        <w:tc>
          <w:tcPr>
            <w:tcW w:w="26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earn-out payables</w:t>
            </w:r>
          </w:p>
        </w:tc>
        <w:tc>
          <w:tcPr>
            <w:tcW w:w="26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0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tcBorders>
              <w:top w:val="single" w:sz="8" w:color="CFF0FC"/>
            </w:tcBorders>
          </w:tcPr>
          <w:p>
            <w:pPr>
              <w:ind w:left="20"/>
              <w:spacing w:after="0" w:line="198" w:lineRule="exact"/>
              <w:rPr>
                <w:sz w:val="20"/>
                <w:szCs w:val="20"/>
                <w:color w:val="auto"/>
              </w:rPr>
            </w:pPr>
            <w:r>
              <w:rPr>
                <w:rFonts w:ascii="Times New Roman" w:cs="Times New Roman" w:eastAsia="Times New Roman" w:hAnsi="Times New Roman"/>
                <w:sz w:val="17"/>
                <w:szCs w:val="17"/>
                <w:color w:val="auto"/>
              </w:rPr>
              <w:t>EBITDAC</w:t>
            </w:r>
            <w:r>
              <w:rPr>
                <w:rFonts w:ascii="Times New Roman" w:cs="Times New Roman" w:eastAsia="Times New Roman" w:hAnsi="Times New Roman"/>
                <w:sz w:val="22"/>
                <w:szCs w:val="22"/>
                <w:color w:val="auto"/>
                <w:vertAlign w:val="superscript"/>
              </w:rPr>
              <w:t>(2)</w:t>
            </w:r>
          </w:p>
        </w:tc>
        <w:tc>
          <w:tcPr>
            <w:tcW w:w="2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163</w:t>
            </w:r>
          </w:p>
        </w:tc>
        <w:tc>
          <w:tcPr>
            <w:tcW w:w="28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147</w:t>
            </w:r>
          </w:p>
        </w:tc>
        <w:tc>
          <w:tcPr>
            <w:tcW w:w="2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43</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355</w:t>
            </w:r>
          </w:p>
        </w:tc>
        <w:tc>
          <w:tcPr>
            <w:tcW w:w="100" w:type="dxa"/>
            <w:vAlign w:val="bottom"/>
            <w:tcBorders>
              <w:top w:val="single" w:sz="8" w:color="CFF0FC"/>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1"/>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EBITDAC Margin</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27.6 %</w:t>
            </w:r>
          </w:p>
        </w:tc>
        <w:tc>
          <w:tcPr>
            <w:tcW w:w="18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47.4 %</w:t>
            </w:r>
          </w:p>
        </w:tc>
        <w:tc>
          <w:tcPr>
            <w:tcW w:w="18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30.9 %</w:t>
            </w:r>
          </w:p>
        </w:tc>
        <w:tc>
          <w:tcPr>
            <w:tcW w:w="24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33.9 %</w:t>
            </w:r>
          </w:p>
        </w:tc>
        <w:tc>
          <w:tcPr>
            <w:tcW w:w="0" w:type="dxa"/>
            <w:vAlign w:val="bottom"/>
          </w:tcPr>
          <w:p>
            <w:pPr>
              <w:spacing w:after="0"/>
              <w:rPr>
                <w:sz w:val="1"/>
                <w:szCs w:val="1"/>
                <w:color w:val="auto"/>
              </w:rPr>
            </w:pPr>
          </w:p>
        </w:tc>
      </w:tr>
      <w:tr>
        <w:trPr>
          <w:trHeight w:val="238"/>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(Gain)/loss on disposal</w:t>
            </w:r>
          </w:p>
        </w:tc>
        <w:tc>
          <w:tcPr>
            <w:tcW w:w="26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1Q23 Nonrecurring Cost</w:t>
            </w:r>
          </w:p>
        </w:tc>
        <w:tc>
          <w:tcPr>
            <w:tcW w:w="26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shd w:val="clear" w:color="auto" w:fill="CFF0FC"/>
          </w:tcPr>
          <w:p>
            <w:pPr>
              <w:ind w:left="120"/>
              <w:spacing w:after="0" w:line="241" w:lineRule="exact"/>
              <w:rPr>
                <w:sz w:val="20"/>
                <w:szCs w:val="20"/>
                <w:color w:val="auto"/>
              </w:rPr>
            </w:pPr>
            <w:r>
              <w:rPr>
                <w:rFonts w:ascii="Times New Roman" w:cs="Times New Roman" w:eastAsia="Times New Roman" w:hAnsi="Times New Roman"/>
                <w:sz w:val="18"/>
                <w:szCs w:val="18"/>
                <w:color w:val="auto"/>
              </w:rPr>
              <w:t>EBITDAC - Adjusted</w:t>
            </w:r>
            <w:r>
              <w:rPr>
                <w:rFonts w:ascii="Times New Roman" w:cs="Times New Roman" w:eastAsia="Times New Roman" w:hAnsi="Times New Roman"/>
                <w:sz w:val="24"/>
                <w:szCs w:val="24"/>
                <w:color w:val="auto"/>
                <w:vertAlign w:val="superscript"/>
              </w:rPr>
              <w:t>(2)</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EBITDAC Margin - Adjusted</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28.1 %</w:t>
            </w:r>
          </w:p>
        </w:tc>
        <w:tc>
          <w:tcPr>
            <w:tcW w:w="18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47.4 %</w:t>
            </w:r>
          </w:p>
        </w:tc>
        <w:tc>
          <w:tcPr>
            <w:tcW w:w="18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30.9 %</w:t>
            </w:r>
          </w:p>
        </w:tc>
        <w:tc>
          <w:tcPr>
            <w:tcW w:w="24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-2040890</wp:posOffset>
            </wp:positionV>
            <wp:extent cx="713232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-979170</wp:posOffset>
            </wp:positionV>
            <wp:extent cx="713232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-2203450</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-2203450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-2203450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-2203450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-2203450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-1141730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-1141730</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-1141730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-1141730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-1141730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8" w:lineRule="exact"/>
        <w:rPr>
          <w:sz w:val="20"/>
          <w:szCs w:val="20"/>
          <w:color w:val="auto"/>
        </w:rPr>
      </w:pPr>
    </w:p>
    <w:p>
      <w:pPr>
        <w:ind w:right="360" w:firstLine="494"/>
        <w:spacing w:after="0" w:line="265" w:lineRule="auto"/>
        <w:rPr>
          <w:sz w:val="20"/>
          <w:szCs w:val="20"/>
          <w:color w:val="auto"/>
        </w:rPr>
      </w:pPr>
      <w:r>
        <w:rPr>
          <w:rFonts w:ascii="Times New Roman" w:cs="Times New Roman" w:eastAsia="Times New Roman" w:hAnsi="Times New Roman"/>
          <w:sz w:val="18"/>
          <w:szCs w:val="18"/>
          <w:color w:val="auto"/>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six months ended June 30, 2024, including by segment, is as follows:</w:t>
      </w:r>
    </w:p>
    <w:p>
      <w:pPr>
        <w:spacing w:after="0" w:line="3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2" w:right="27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Wholesale</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6"/>
                <w:szCs w:val="16"/>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80" w:type="dxa"/>
            <w:vAlign w:val="bottom"/>
          </w:tcPr>
          <w:p>
            <w:pPr>
              <w:spacing w:after="0"/>
              <w:rPr>
                <w:sz w:val="16"/>
                <w:szCs w:val="16"/>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240" w:type="dxa"/>
            <w:vAlign w:val="bottom"/>
          </w:tcPr>
          <w:p>
            <w:pPr>
              <w:spacing w:after="0"/>
              <w:rPr>
                <w:sz w:val="16"/>
                <w:szCs w:val="16"/>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6"/>
                <w:szCs w:val="16"/>
                <w:color w:val="auto"/>
              </w:rPr>
            </w:pPr>
          </w:p>
        </w:tc>
        <w:tc>
          <w:tcPr>
            <w:tcW w:w="10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2"/>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30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Income Before Income Taxes Margin</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25.3 %</w:t>
            </w:r>
          </w:p>
        </w:tc>
        <w:tc>
          <w:tcPr>
            <w:tcW w:w="18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43.4 %</w:t>
            </w:r>
          </w:p>
        </w:tc>
        <w:tc>
          <w:tcPr>
            <w:tcW w:w="18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29.2 %</w:t>
            </w:r>
          </w:p>
        </w:tc>
        <w:tc>
          <w:tcPr>
            <w:tcW w:w="2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29.2 %</w:t>
            </w:r>
          </w:p>
        </w:tc>
        <w:tc>
          <w:tcPr>
            <w:tcW w:w="0" w:type="dxa"/>
            <w:vAlign w:val="bottom"/>
          </w:tcPr>
          <w:p>
            <w:pPr>
              <w:spacing w:after="0"/>
              <w:rPr>
                <w:sz w:val="1"/>
                <w:szCs w:val="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estimated acquisition</w:t>
            </w:r>
          </w:p>
        </w:tc>
        <w:tc>
          <w:tcPr>
            <w:tcW w:w="260" w:type="dxa"/>
            <w:vAlign w:val="bottom"/>
            <w:shd w:val="clear" w:color="auto" w:fill="CFF0FC"/>
          </w:tcPr>
          <w:p>
            <w:pPr>
              <w:spacing w:after="0"/>
              <w:rPr>
                <w:sz w:val="18"/>
                <w:szCs w:val="18"/>
                <w:color w:val="auto"/>
              </w:rPr>
            </w:pPr>
          </w:p>
        </w:tc>
        <w:tc>
          <w:tcPr>
            <w:tcW w:w="120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shd w:val="clear" w:color="auto" w:fill="CFF0FC"/>
          </w:tcPr>
          <w:p>
            <w:pPr>
              <w:spacing w:after="0"/>
              <w:rPr>
                <w:sz w:val="18"/>
                <w:szCs w:val="18"/>
                <w:color w:val="auto"/>
              </w:rPr>
            </w:pPr>
          </w:p>
        </w:tc>
        <w:tc>
          <w:tcPr>
            <w:tcW w:w="11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earn-out payables</w:t>
            </w:r>
          </w:p>
        </w:tc>
        <w:tc>
          <w:tcPr>
            <w:tcW w:w="260" w:type="dxa"/>
            <w:vAlign w:val="bottom"/>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8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4300" w:type="dxa"/>
            <w:vAlign w:val="bottom"/>
            <w:tcBorders>
              <w:top w:val="single" w:sz="8" w:color="CFF0FC"/>
            </w:tcBorders>
          </w:tcPr>
          <w:p>
            <w:pPr>
              <w:ind w:left="20"/>
              <w:spacing w:after="0" w:line="211" w:lineRule="exact"/>
              <w:rPr>
                <w:sz w:val="20"/>
                <w:szCs w:val="20"/>
                <w:color w:val="auto"/>
              </w:rPr>
            </w:pPr>
            <w:r>
              <w:rPr>
                <w:rFonts w:ascii="Times New Roman" w:cs="Times New Roman" w:eastAsia="Times New Roman" w:hAnsi="Times New Roman"/>
                <w:sz w:val="18"/>
                <w:szCs w:val="18"/>
                <w:color w:val="auto"/>
              </w:rPr>
              <w:t>EBITDAC</w:t>
            </w:r>
            <w:r>
              <w:rPr>
                <w:rFonts w:ascii="Times New Roman" w:cs="Times New Roman" w:eastAsia="Times New Roman" w:hAnsi="Times New Roman"/>
                <w:sz w:val="24"/>
                <w:szCs w:val="24"/>
                <w:color w:val="auto"/>
                <w:vertAlign w:val="superscript"/>
              </w:rPr>
              <w:t>(2)</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top w:val="single" w:sz="8" w:color="CFF0F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30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EBITDAC Margin</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32.6 %</w:t>
            </w:r>
          </w:p>
        </w:tc>
        <w:tc>
          <w:tcPr>
            <w:tcW w:w="18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50.7 %</w:t>
            </w:r>
          </w:p>
        </w:tc>
        <w:tc>
          <w:tcPr>
            <w:tcW w:w="18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32.9 %</w:t>
            </w:r>
          </w:p>
        </w:tc>
        <w:tc>
          <w:tcPr>
            <w:tcW w:w="2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37.5 %</w:t>
            </w:r>
          </w:p>
        </w:tc>
        <w:tc>
          <w:tcPr>
            <w:tcW w:w="0" w:type="dxa"/>
            <w:vAlign w:val="bottom"/>
          </w:tcPr>
          <w:p>
            <w:pPr>
              <w:spacing w:after="0"/>
              <w:rPr>
                <w:sz w:val="1"/>
                <w:szCs w:val="1"/>
                <w:color w:val="auto"/>
              </w:rPr>
            </w:pPr>
          </w:p>
        </w:tc>
      </w:tr>
      <w:tr>
        <w:trPr>
          <w:trHeight w:val="238"/>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(Gain)/loss on disposal</w:t>
            </w:r>
          </w:p>
        </w:tc>
        <w:tc>
          <w:tcPr>
            <w:tcW w:w="26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(28 )</w:t>
            </w:r>
          </w:p>
        </w:tc>
        <w:tc>
          <w:tcPr>
            <w:tcW w:w="1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tcBorders>
              <w:top w:val="single" w:sz="8" w:color="CFF0FC"/>
            </w:tcBorders>
            <w:shd w:val="clear" w:color="auto" w:fill="CFF0FC"/>
          </w:tcPr>
          <w:p>
            <w:pPr>
              <w:ind w:left="120"/>
              <w:spacing w:after="0" w:line="241" w:lineRule="exact"/>
              <w:rPr>
                <w:sz w:val="20"/>
                <w:szCs w:val="20"/>
                <w:color w:val="auto"/>
              </w:rPr>
            </w:pPr>
            <w:r>
              <w:rPr>
                <w:rFonts w:ascii="Times New Roman" w:cs="Times New Roman" w:eastAsia="Times New Roman" w:hAnsi="Times New Roman"/>
                <w:sz w:val="18"/>
                <w:szCs w:val="18"/>
                <w:color w:val="auto"/>
              </w:rPr>
              <w:t>EBITDAC - Adjusted</w:t>
            </w:r>
            <w:r>
              <w:rPr>
                <w:rFonts w:ascii="Times New Roman" w:cs="Times New Roman" w:eastAsia="Times New Roman" w:hAnsi="Times New Roman"/>
                <w:sz w:val="24"/>
                <w:szCs w:val="24"/>
                <w:color w:val="auto"/>
                <w:vertAlign w:val="superscript"/>
              </w:rPr>
              <w:t>(2)</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8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40" w:type="dxa"/>
            <w:vAlign w:val="bottom"/>
            <w:tcBorders>
              <w:top w:val="single" w:sz="8" w:color="CFF0FC"/>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60" w:type="dxa"/>
            <w:vAlign w:val="bottom"/>
            <w:tcBorders>
              <w:top w:val="single" w:sz="8" w:color="CFF0FC"/>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Borders>
              <w:top w:val="single" w:sz="8" w:color="CFF0FC"/>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tcBorders>
              <w:top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EBITDAC Margin - Adjusted</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32.5 %</w:t>
            </w:r>
          </w:p>
        </w:tc>
        <w:tc>
          <w:tcPr>
            <w:tcW w:w="18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46.4 %</w:t>
            </w:r>
          </w:p>
        </w:tc>
        <w:tc>
          <w:tcPr>
            <w:tcW w:w="18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32.9 %</w:t>
            </w:r>
          </w:p>
        </w:tc>
        <w:tc>
          <w:tcPr>
            <w:tcW w:w="24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-1732915</wp:posOffset>
            </wp:positionV>
            <wp:extent cx="7132320" cy="1543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-671195</wp:posOffset>
            </wp:positionV>
            <wp:extent cx="7132320" cy="1543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-1895475</wp:posOffset>
            </wp:positionV>
            <wp:extent cx="768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-1895475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-1895475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-1895475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-1895475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-833755</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-833755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-833755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-833755</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-833755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-362585</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-362585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-362585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-362585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-362585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8" w:lineRule="exact"/>
        <w:rPr>
          <w:sz w:val="20"/>
          <w:szCs w:val="20"/>
          <w:color w:val="auto"/>
        </w:rPr>
      </w:pPr>
    </w:p>
    <w:p>
      <w:pPr>
        <w:ind w:right="360" w:firstLine="494"/>
        <w:spacing w:after="0" w:line="257" w:lineRule="auto"/>
        <w:rPr>
          <w:sz w:val="20"/>
          <w:szCs w:val="20"/>
          <w:color w:val="auto"/>
        </w:rPr>
      </w:pPr>
      <w:r>
        <w:rPr>
          <w:rFonts w:ascii="Times New Roman" w:cs="Times New Roman" w:eastAsia="Times New Roman" w:hAnsi="Times New Roman"/>
          <w:sz w:val="18"/>
          <w:szCs w:val="18"/>
          <w:color w:val="auto"/>
        </w:rPr>
        <w:t>The reconciliation of income before income taxes, included in the Condensed Consolidated Statements of Income, to EBITDAC, a non-GAAP measure, and EBITDAC - Adjusted, a non-GAAP measure, and Income Before Income Taxes Margin to EBITDAC Margin, a non-GAAP measure, and EBITDAC Margin - Adjusted, a non-GAAP measure, for the six months ended June 30, 2023, including by segment, is as follows:</w:t>
      </w:r>
    </w:p>
    <w:tbl>
      <w:tblPr>
        <w:tblLayout w:type="fixed"/>
        <w:tblInd w:w="0" w:type="dxa"/>
        <w:tblCellMar>
          <w:top w:w="0" w:type="dxa"/>
          <w:left w:w="0" w:type="dxa"/>
          <w:bottom w:w="0" w:type="dxa"/>
          <w:right w:w="0" w:type="dxa"/>
        </w:tblCellMar>
      </w:tblPr>
      <w:tr>
        <w:trPr>
          <w:trHeight w:val="138"/>
        </w:trPr>
        <w:tc>
          <w:tcPr>
            <w:tcW w:w="4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jc w:val="right"/>
              <w:ind w:right="540"/>
              <w:spacing w:after="0" w:line="138" w:lineRule="exact"/>
              <w:rPr>
                <w:sz w:val="20"/>
                <w:szCs w:val="20"/>
                <w:color w:val="auto"/>
              </w:rPr>
            </w:pPr>
            <w:r>
              <w:rPr>
                <w:rFonts w:ascii="Times New Roman" w:cs="Times New Roman" w:eastAsia="Times New Roman" w:hAnsi="Times New Roman"/>
                <w:sz w:val="14"/>
                <w:szCs w:val="14"/>
                <w:b w:val="1"/>
                <w:bCs w:val="1"/>
                <w:color w:val="auto"/>
              </w:rPr>
              <w:t>Wholesale</w:t>
            </w: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60" w:type="dxa"/>
            <w:vAlign w:val="bottom"/>
          </w:tcPr>
          <w:p>
            <w:pPr>
              <w:spacing w:after="0"/>
              <w:rPr>
                <w:sz w:val="16"/>
                <w:szCs w:val="16"/>
                <w:color w:val="auto"/>
              </w:rPr>
            </w:pPr>
          </w:p>
        </w:tc>
        <w:tc>
          <w:tcPr>
            <w:tcW w:w="12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Retail</w:t>
            </w:r>
          </w:p>
        </w:tc>
        <w:tc>
          <w:tcPr>
            <w:tcW w:w="180" w:type="dxa"/>
            <w:vAlign w:val="bottom"/>
          </w:tcPr>
          <w:p>
            <w:pPr>
              <w:spacing w:after="0"/>
              <w:rPr>
                <w:sz w:val="16"/>
                <w:szCs w:val="16"/>
                <w:color w:val="auto"/>
              </w:rPr>
            </w:pPr>
          </w:p>
        </w:tc>
        <w:tc>
          <w:tcPr>
            <w:tcW w:w="12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80" w:type="dxa"/>
            <w:vAlign w:val="bottom"/>
          </w:tcPr>
          <w:p>
            <w:pPr>
              <w:spacing w:after="0"/>
              <w:rPr>
                <w:sz w:val="16"/>
                <w:szCs w:val="16"/>
                <w:color w:val="auto"/>
              </w:rPr>
            </w:pPr>
          </w:p>
        </w:tc>
        <w:tc>
          <w:tcPr>
            <w:tcW w:w="12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Brokerage</w:t>
            </w:r>
          </w:p>
        </w:tc>
        <w:tc>
          <w:tcPr>
            <w:tcW w:w="240" w:type="dxa"/>
            <w:vAlign w:val="bottom"/>
          </w:tcPr>
          <w:p>
            <w:pPr>
              <w:spacing w:after="0"/>
              <w:rPr>
                <w:sz w:val="16"/>
                <w:szCs w:val="16"/>
                <w:color w:val="auto"/>
              </w:rPr>
            </w:pPr>
          </w:p>
        </w:tc>
        <w:tc>
          <w:tcPr>
            <w:tcW w:w="11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6"/>
                <w:szCs w:val="16"/>
                <w:color w:val="auto"/>
              </w:rPr>
            </w:pPr>
          </w:p>
        </w:tc>
        <w:tc>
          <w:tcPr>
            <w:tcW w:w="106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2"/>
        </w:trPr>
        <w:tc>
          <w:tcPr>
            <w:tcW w:w="4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2,163</w:t>
            </w:r>
          </w:p>
        </w:tc>
        <w:tc>
          <w:tcPr>
            <w:tcW w:w="100" w:type="dxa"/>
            <w:vAlign w:val="bottom"/>
            <w:tcBorders>
              <w:bottom w:val="single" w:sz="8" w:color="CFF0FC"/>
            </w:tcBorders>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30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Income Before Income Taxes Margin</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24.2 %</w:t>
            </w:r>
          </w:p>
        </w:tc>
        <w:tc>
          <w:tcPr>
            <w:tcW w:w="18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35.2 %</w:t>
            </w:r>
          </w:p>
        </w:tc>
        <w:tc>
          <w:tcPr>
            <w:tcW w:w="18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26.3 %</w:t>
            </w:r>
          </w:p>
        </w:tc>
        <w:tc>
          <w:tcPr>
            <w:tcW w:w="2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0" w:type="dxa"/>
            <w:vAlign w:val="bottom"/>
          </w:tcPr>
          <w:p>
            <w:pPr>
              <w:spacing w:after="0"/>
              <w:rPr>
                <w:sz w:val="1"/>
                <w:szCs w:val="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3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estimated acquisition</w:t>
            </w:r>
          </w:p>
        </w:tc>
        <w:tc>
          <w:tcPr>
            <w:tcW w:w="260" w:type="dxa"/>
            <w:vAlign w:val="bottom"/>
            <w:shd w:val="clear" w:color="auto" w:fill="CFF0FC"/>
          </w:tcPr>
          <w:p>
            <w:pPr>
              <w:spacing w:after="0"/>
              <w:rPr>
                <w:sz w:val="18"/>
                <w:szCs w:val="18"/>
                <w:color w:val="auto"/>
              </w:rPr>
            </w:pPr>
          </w:p>
        </w:tc>
        <w:tc>
          <w:tcPr>
            <w:tcW w:w="120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18"/>
                <w:szCs w:val="18"/>
                <w:color w:val="auto"/>
              </w:rPr>
            </w:pPr>
          </w:p>
        </w:tc>
        <w:tc>
          <w:tcPr>
            <w:tcW w:w="12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24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shd w:val="clear" w:color="auto" w:fill="CFF0FC"/>
          </w:tcPr>
          <w:p>
            <w:pPr>
              <w:spacing w:after="0"/>
              <w:rPr>
                <w:sz w:val="18"/>
                <w:szCs w:val="18"/>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earn-out payables</w:t>
            </w:r>
          </w:p>
        </w:tc>
        <w:tc>
          <w:tcPr>
            <w:tcW w:w="260" w:type="dxa"/>
            <w:vAlign w:val="bottom"/>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20" w:type="dxa"/>
            <w:vAlign w:val="bottom"/>
            <w:gridSpan w:val="2"/>
            <w:vMerge w:val="continue"/>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gridSpan w:val="2"/>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00" w:type="dxa"/>
            <w:vAlign w:val="bottom"/>
          </w:tcPr>
          <w:p>
            <w:pPr>
              <w:ind w:left="20"/>
              <w:spacing w:after="0" w:line="211" w:lineRule="exact"/>
              <w:rPr>
                <w:sz w:val="20"/>
                <w:szCs w:val="20"/>
                <w:color w:val="auto"/>
              </w:rPr>
            </w:pPr>
            <w:r>
              <w:rPr>
                <w:rFonts w:ascii="Times New Roman" w:cs="Times New Roman" w:eastAsia="Times New Roman" w:hAnsi="Times New Roman"/>
                <w:sz w:val="18"/>
                <w:szCs w:val="18"/>
                <w:color w:val="auto"/>
              </w:rPr>
              <w:t>EBITDAC</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4300" w:type="dxa"/>
            <w:vAlign w:val="bottom"/>
          </w:tcPr>
          <w:p>
            <w:pPr>
              <w:ind w:left="20"/>
              <w:spacing w:after="0" w:line="267" w:lineRule="exact"/>
              <w:rPr>
                <w:sz w:val="20"/>
                <w:szCs w:val="20"/>
                <w:color w:val="auto"/>
              </w:rPr>
            </w:pPr>
            <w:r>
              <w:rPr>
                <w:rFonts w:ascii="Times New Roman" w:cs="Times New Roman" w:eastAsia="Times New Roman" w:hAnsi="Times New Roman"/>
                <w:sz w:val="18"/>
                <w:szCs w:val="18"/>
                <w:color w:val="auto"/>
              </w:rPr>
              <w:t>EBITDAC Margin</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3"/>
                <w:szCs w:val="23"/>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32.4 %</w:t>
            </w:r>
          </w:p>
        </w:tc>
        <w:tc>
          <w:tcPr>
            <w:tcW w:w="18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43.5 %</w:t>
            </w:r>
          </w:p>
        </w:tc>
        <w:tc>
          <w:tcPr>
            <w:tcW w:w="18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30.9 %</w:t>
            </w:r>
          </w:p>
        </w:tc>
        <w:tc>
          <w:tcPr>
            <w:tcW w:w="240" w:type="dxa"/>
            <w:vAlign w:val="bottom"/>
          </w:tcPr>
          <w:p>
            <w:pPr>
              <w:spacing w:after="0"/>
              <w:rPr>
                <w:sz w:val="23"/>
                <w:szCs w:val="23"/>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tcPr>
          <w:p>
            <w:pPr>
              <w:spacing w:after="0"/>
              <w:rPr>
                <w:sz w:val="23"/>
                <w:szCs w:val="23"/>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34.5 %</w:t>
            </w:r>
          </w:p>
        </w:tc>
        <w:tc>
          <w:tcPr>
            <w:tcW w:w="0" w:type="dxa"/>
            <w:vAlign w:val="bottom"/>
          </w:tcPr>
          <w:p>
            <w:pPr>
              <w:spacing w:after="0"/>
              <w:rPr>
                <w:sz w:val="1"/>
                <w:szCs w:val="1"/>
                <w:color w:val="auto"/>
              </w:rPr>
            </w:pPr>
          </w:p>
        </w:tc>
      </w:tr>
      <w:tr>
        <w:trPr>
          <w:trHeight w:val="238"/>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(Gain)/loss on disposal</w:t>
            </w:r>
          </w:p>
        </w:tc>
        <w:tc>
          <w:tcPr>
            <w:tcW w:w="26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Acquisition/Integration Costs</w:t>
            </w: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1Q23 Nonrecurring Cost</w:t>
            </w:r>
          </w:p>
        </w:tc>
        <w:tc>
          <w:tcPr>
            <w:tcW w:w="260" w:type="dxa"/>
            <w:vAlign w:val="bottom"/>
          </w:tcPr>
          <w:p>
            <w:pPr>
              <w:spacing w:after="0"/>
              <w:rPr>
                <w:sz w:val="20"/>
                <w:szCs w:val="20"/>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300" w:type="dxa"/>
            <w:vAlign w:val="bottom"/>
            <w:shd w:val="clear" w:color="auto" w:fill="CFF0FC"/>
          </w:tcPr>
          <w:p>
            <w:pPr>
              <w:ind w:left="120"/>
              <w:spacing w:after="0" w:line="241" w:lineRule="exact"/>
              <w:rPr>
                <w:sz w:val="20"/>
                <w:szCs w:val="20"/>
                <w:color w:val="auto"/>
              </w:rPr>
            </w:pPr>
            <w:r>
              <w:rPr>
                <w:rFonts w:ascii="Times New Roman" w:cs="Times New Roman" w:eastAsia="Times New Roman" w:hAnsi="Times New Roman"/>
                <w:sz w:val="18"/>
                <w:szCs w:val="18"/>
                <w:color w:val="auto"/>
              </w:rPr>
              <w:t>EBITDAC - Adjusted</w:t>
            </w:r>
            <w:r>
              <w:rPr>
                <w:rFonts w:ascii="Times New Roman" w:cs="Times New Roman" w:eastAsia="Times New Roman" w:hAnsi="Times New Roman"/>
                <w:sz w:val="24"/>
                <w:szCs w:val="24"/>
                <w:color w:val="auto"/>
                <w:vertAlign w:val="superscript"/>
              </w:rPr>
              <w:t>(2)</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8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EBITDAC Margin - Adjusted</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4"/>
                <w:szCs w:val="24"/>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32.9 %</w:t>
            </w:r>
          </w:p>
        </w:tc>
        <w:tc>
          <w:tcPr>
            <w:tcW w:w="18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42.5 %</w:t>
            </w:r>
          </w:p>
        </w:tc>
        <w:tc>
          <w:tcPr>
            <w:tcW w:w="18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30.9 %</w:t>
            </w:r>
          </w:p>
        </w:tc>
        <w:tc>
          <w:tcPr>
            <w:tcW w:w="240" w:type="dxa"/>
            <w:vAlign w:val="bottom"/>
          </w:tcPr>
          <w:p>
            <w:pPr>
              <w:spacing w:after="0"/>
              <w:rPr>
                <w:sz w:val="24"/>
                <w:szCs w:val="24"/>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tcPr>
          <w:p>
            <w:pPr>
              <w:spacing w:after="0"/>
              <w:rPr>
                <w:sz w:val="24"/>
                <w:szCs w:val="24"/>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-2040890</wp:posOffset>
            </wp:positionV>
            <wp:extent cx="7132320" cy="1543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-979170</wp:posOffset>
            </wp:positionV>
            <wp:extent cx="7132320" cy="1543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-2203450</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-2203450</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-2203450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-2203450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-2203450</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-1141730</wp:posOffset>
            </wp:positionV>
            <wp:extent cx="768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4397375</wp:posOffset>
            </wp:positionH>
            <wp:positionV relativeFrom="paragraph">
              <wp:posOffset>-1141730</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-1141730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-1141730</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-1141730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Retail Segment</w:t>
      </w:r>
    </w:p>
    <w:p>
      <w:pPr>
        <w:spacing w:after="0" w:line="121" w:lineRule="exact"/>
        <w:rPr>
          <w:sz w:val="20"/>
          <w:szCs w:val="20"/>
          <w:color w:val="auto"/>
        </w:rPr>
      </w:pPr>
    </w:p>
    <w:p>
      <w:pPr>
        <w:jc w:val="both"/>
        <w:ind w:right="220" w:firstLine="499"/>
        <w:spacing w:after="0" w:line="265" w:lineRule="auto"/>
        <w:rPr>
          <w:sz w:val="20"/>
          <w:szCs w:val="20"/>
          <w:color w:val="auto"/>
        </w:rPr>
      </w:pPr>
      <w:r>
        <w:rPr>
          <w:rFonts w:ascii="Times New Roman" w:cs="Times New Roman" w:eastAsia="Times New Roman" w:hAnsi="Times New Roman"/>
          <w:sz w:val="18"/>
          <w:szCs w:val="18"/>
          <w:color w:val="auto"/>
        </w:rPr>
        <w:t>The Retail segment provides a broad range of insurance products and services to commercial, public and quasi-public, professional and individual insured customers, and non-insurance risk-mitigating products through our F&amp;I businesses. Approximately 78% of the Retail segment’s commissions and fees revenue is commission based.</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79" w:right="279" w:bottom="1440" w:gutter="0" w:footer="0" w:header="0"/>
        </w:sectPr>
      </w:pPr>
    </w:p>
    <w:bookmarkStart w:id="33" w:name="page34"/>
    <w:bookmarkEnd w:id="33"/>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Retail segment is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260" w:type="dxa"/>
            <w:vAlign w:val="bottom"/>
          </w:tcPr>
          <w:p>
            <w:pPr>
              <w:spacing w:after="0"/>
              <w:rPr>
                <w:sz w:val="15"/>
                <w:szCs w:val="15"/>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commissions and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10.8 %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3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(53.3 %)</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NMF</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5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2"/>
        </w:trPr>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9.3 %</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1,452</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9.7 %</w:t>
            </w:r>
          </w:p>
        </w:tc>
        <w:tc>
          <w:tcPr>
            <w:tcW w:w="0" w:type="dxa"/>
            <w:vAlign w:val="bottom"/>
          </w:tcPr>
          <w:p>
            <w:pPr>
              <w:spacing w:after="0"/>
              <w:rPr>
                <w:sz w:val="1"/>
                <w:szCs w:val="1"/>
                <w:color w:val="auto"/>
              </w:rPr>
            </w:pPr>
          </w:p>
        </w:tc>
      </w:tr>
      <w:tr>
        <w:trPr>
          <w:trHeight w:val="247"/>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9.9 %</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10.1 %</w:t>
            </w:r>
          </w:p>
        </w:tc>
        <w:tc>
          <w:tcPr>
            <w:tcW w:w="0" w:type="dxa"/>
            <w:vAlign w:val="bottom"/>
          </w:tcPr>
          <w:p>
            <w:pPr>
              <w:spacing w:after="0"/>
              <w:rPr>
                <w:sz w:val="1"/>
                <w:szCs w:val="1"/>
                <w:color w:val="auto"/>
              </w:rPr>
            </w:pPr>
          </w:p>
        </w:tc>
      </w:tr>
      <w:tr>
        <w:trPr>
          <w:trHeight w:val="23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4.8 %</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(Gain)/loss on disposal</w:t>
            </w:r>
          </w:p>
        </w:tc>
        <w:tc>
          <w:tcPr>
            <w:tcW w:w="2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(2 )</w:t>
            </w:r>
          </w:p>
        </w:tc>
        <w:tc>
          <w:tcPr>
            <w:tcW w:w="240" w:type="dxa"/>
            <w:vAlign w:val="bottom"/>
          </w:tcPr>
          <w:p>
            <w:pPr>
              <w:spacing w:after="0"/>
              <w:rPr>
                <w:sz w:val="21"/>
                <w:szCs w:val="21"/>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NMF</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260" w:type="dxa"/>
            <w:vAlign w:val="bottom"/>
          </w:tcPr>
          <w:p>
            <w:pPr>
              <w:spacing w:after="0"/>
              <w:rPr>
                <w:sz w:val="21"/>
                <w:szCs w:val="21"/>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(13.6 %)</w:t>
            </w:r>
          </w:p>
        </w:tc>
        <w:tc>
          <w:tcPr>
            <w:tcW w:w="0" w:type="dxa"/>
            <w:vAlign w:val="bottom"/>
          </w:tcPr>
          <w:p>
            <w:pPr>
              <w:spacing w:after="0"/>
              <w:rPr>
                <w:sz w:val="1"/>
                <w:szCs w:val="1"/>
                <w:color w:val="auto"/>
              </w:rPr>
            </w:pPr>
          </w:p>
        </w:tc>
      </w:tr>
      <w:tr>
        <w:trPr>
          <w:trHeight w:val="22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acquisition</w:t>
            </w:r>
          </w:p>
        </w:tc>
        <w:tc>
          <w:tcPr>
            <w:tcW w:w="26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earn-out payables</w:t>
            </w:r>
          </w:p>
        </w:tc>
        <w:tc>
          <w:tcPr>
            <w:tcW w:w="2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2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36"/>
        </w:trPr>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6.6 %</w:t>
            </w: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w:t>
            </w: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8.1 %</w:t>
            </w:r>
          </w:p>
        </w:tc>
        <w:tc>
          <w:tcPr>
            <w:tcW w:w="0" w:type="dxa"/>
            <w:vAlign w:val="bottom"/>
          </w:tcPr>
          <w:p>
            <w:pPr>
              <w:spacing w:after="0"/>
              <w:rPr>
                <w:sz w:val="1"/>
                <w:szCs w:val="1"/>
                <w:color w:val="auto"/>
              </w:rPr>
            </w:pPr>
          </w:p>
        </w:tc>
      </w:tr>
      <w:tr>
        <w:trPr>
          <w:trHeight w:val="2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ind w:right="160"/>
              <w:spacing w:after="0" w:line="236" w:lineRule="exact"/>
              <w:rPr>
                <w:sz w:val="20"/>
                <w:szCs w:val="20"/>
                <w:color w:val="auto"/>
              </w:rPr>
            </w:pPr>
            <w:r>
              <w:rPr>
                <w:rFonts w:ascii="Times New Roman" w:cs="Times New Roman" w:eastAsia="Times New Roman" w:hAnsi="Times New Roman"/>
                <w:sz w:val="15"/>
                <w:szCs w:val="15"/>
                <w:color w:val="auto"/>
              </w:rPr>
              <w:t xml:space="preserve">21.7 % </w:t>
            </w:r>
            <w:r>
              <w:rPr>
                <w:rFonts w:ascii="Times New Roman" w:cs="Times New Roman" w:eastAsia="Times New Roman" w:hAnsi="Times New Roman"/>
                <w:sz w:val="27"/>
                <w:szCs w:val="27"/>
                <w:color w:val="auto"/>
                <w:vertAlign w:val="superscript"/>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14.7 %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3300" w:type="dxa"/>
            <w:vAlign w:val="bottom"/>
            <w:shd w:val="clear" w:color="auto" w:fill="CFF0FC"/>
          </w:tcPr>
          <w:p>
            <w:pPr>
              <w:ind w:left="20"/>
              <w:spacing w:after="0" w:line="157" w:lineRule="exact"/>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1"/>
        </w:trPr>
        <w:tc>
          <w:tcPr>
            <w:tcW w:w="3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 xml:space="preserve">Margin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24"/>
                <w:szCs w:val="24"/>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20.0 %</w:t>
            </w:r>
          </w:p>
        </w:tc>
        <w:tc>
          <w:tcPr>
            <w:tcW w:w="240" w:type="dxa"/>
            <w:vAlign w:val="bottom"/>
            <w:shd w:val="clear" w:color="auto" w:fill="CFF0FC"/>
          </w:tcPr>
          <w:p>
            <w:pPr>
              <w:spacing w:after="0"/>
              <w:rPr>
                <w:sz w:val="24"/>
                <w:szCs w:val="24"/>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17.9 %</w:t>
            </w:r>
          </w:p>
        </w:tc>
        <w:tc>
          <w:tcPr>
            <w:tcW w:w="200" w:type="dxa"/>
            <w:vAlign w:val="bottom"/>
            <w:shd w:val="clear" w:color="auto" w:fill="CFF0FC"/>
          </w:tcPr>
          <w:p>
            <w:pPr>
              <w:spacing w:after="0"/>
              <w:rPr>
                <w:sz w:val="24"/>
                <w:szCs w:val="24"/>
                <w:color w:val="auto"/>
              </w:rPr>
            </w:pPr>
          </w:p>
        </w:tc>
        <w:tc>
          <w:tcPr>
            <w:tcW w:w="9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25.3 %</w:t>
            </w:r>
          </w:p>
        </w:tc>
        <w:tc>
          <w:tcPr>
            <w:tcW w:w="260" w:type="dxa"/>
            <w:vAlign w:val="bottom"/>
            <w:shd w:val="clear" w:color="auto" w:fill="CFF0FC"/>
          </w:tcPr>
          <w:p>
            <w:pPr>
              <w:spacing w:after="0"/>
              <w:rPr>
                <w:sz w:val="24"/>
                <w:szCs w:val="24"/>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24.2 %</w:t>
            </w:r>
          </w:p>
        </w:tc>
        <w:tc>
          <w:tcPr>
            <w:tcW w:w="180" w:type="dxa"/>
            <w:vAlign w:val="bottom"/>
            <w:shd w:val="clear" w:color="auto" w:fill="CFF0FC"/>
          </w:tcPr>
          <w:p>
            <w:pPr>
              <w:spacing w:after="0"/>
              <w:rPr>
                <w:sz w:val="24"/>
                <w:szCs w:val="24"/>
                <w:color w:val="auto"/>
              </w:rPr>
            </w:pPr>
          </w:p>
        </w:tc>
        <w:tc>
          <w:tcPr>
            <w:tcW w:w="9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r>
        <w:trPr>
          <w:trHeight w:val="243"/>
        </w:trPr>
        <w:tc>
          <w:tcPr>
            <w:tcW w:w="33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28.0 %</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28.1 %</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32.5 %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32.9 %</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7.3 %</w:t>
            </w: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5.6 %</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7.4 %</w:t>
            </w:r>
          </w:p>
        </w:tc>
        <w:tc>
          <w:tcPr>
            <w:tcW w:w="2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7.0 %</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relative to total revenues</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55.0 %</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54.7 %</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52.0 %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51.8 %</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 relative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total revenues</w:t>
            </w:r>
          </w:p>
        </w:tc>
        <w:tc>
          <w:tcPr>
            <w:tcW w:w="2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17.0 %</w:t>
            </w:r>
          </w:p>
        </w:tc>
        <w:tc>
          <w:tcPr>
            <w:tcW w:w="2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17.8 %</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15.5 %</w:t>
            </w:r>
          </w:p>
        </w:tc>
        <w:tc>
          <w:tcPr>
            <w:tcW w:w="2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15.8 %</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122.2 %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80.0 %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June 30,</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8,676</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-3972560</wp:posOffset>
            </wp:positionV>
            <wp:extent cx="7132320" cy="1543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-3039110</wp:posOffset>
            </wp:positionV>
            <wp:extent cx="7132320" cy="1543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-2730500</wp:posOffset>
            </wp:positionV>
            <wp:extent cx="7132320" cy="1543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-2422525</wp:posOffset>
            </wp:positionV>
            <wp:extent cx="7132320" cy="1543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-3663950</wp:posOffset>
            </wp:positionV>
            <wp:extent cx="7132320" cy="1625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-1977390</wp:posOffset>
            </wp:positionV>
            <wp:extent cx="7132320" cy="1625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19005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99" w:lineRule="exact"/>
        <w:rPr>
          <w:sz w:val="20"/>
          <w:szCs w:val="20"/>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314" w:lineRule="exact"/>
        <w:rPr>
          <w:sz w:val="20"/>
          <w:szCs w:val="20"/>
          <w:color w:val="auto"/>
        </w:rPr>
      </w:pPr>
    </w:p>
    <w:p>
      <w:pPr>
        <w:ind w:right="220" w:firstLine="494"/>
        <w:spacing w:after="0" w:line="253" w:lineRule="auto"/>
        <w:rPr>
          <w:sz w:val="20"/>
          <w:szCs w:val="20"/>
          <w:color w:val="auto"/>
        </w:rPr>
      </w:pPr>
      <w:r>
        <w:rPr>
          <w:rFonts w:ascii="Times New Roman" w:cs="Times New Roman" w:eastAsia="Times New Roman" w:hAnsi="Times New Roman"/>
          <w:sz w:val="18"/>
          <w:szCs w:val="18"/>
          <w:color w:val="auto"/>
        </w:rPr>
        <w:t>The Retail segment’s total revenues for the three months ended June 30, 2024 increased 9.3%, or $55 million, as compared to the same period in 2023, to $646 million. The $62 million increase in core commissions and fees revenue was driven by: (i) approximately $21 million related to the core commissions and fees revenue from acquisitions that had no comparable revenues in the same period of 2023; (ii) an increase of $42 million related to net new and renewal business; (iii) an increase from the impact of Foreign Currency Translation of $1 million and (iv) a decrease of $2 million related to commissions and fees recorded in 2023 from businesses since divested. Profit-sharing contingent commissions for the second quarter of 2024 decreased 53.3%, or $8 million, as compared to the same period in 2023, to $7 million. This decrease was primarily the result of not qualifying for certain profit-sharing contingent commissions in 2024, due to higher loss ratios experienced by our insurance carrier partners, that we qualified for in the prior year. The Retail segment’s total commissions and fees increased by 10.8%, and the Organic Revenue growth rate was 7.3% for the second quarter of 2024. The Organic Revenue growth rate was driven by net new business written during the preceding twelve months and growth on renewals of existing customers. Renewal business was impacted by increases in exposure units, as well as continued rate increases for property and casualty, employee benefits and auto.</w:t>
      </w:r>
    </w:p>
    <w:p>
      <w:pPr>
        <w:spacing w:after="0" w:line="83" w:lineRule="exact"/>
        <w:rPr>
          <w:sz w:val="20"/>
          <w:szCs w:val="20"/>
          <w:color w:val="auto"/>
        </w:rPr>
      </w:pPr>
    </w:p>
    <w:p>
      <w:pPr>
        <w:ind w:right="260" w:firstLine="494"/>
        <w:spacing w:after="0" w:line="265" w:lineRule="auto"/>
        <w:rPr>
          <w:sz w:val="20"/>
          <w:szCs w:val="20"/>
          <w:color w:val="auto"/>
        </w:rPr>
      </w:pPr>
      <w:r>
        <w:rPr>
          <w:rFonts w:ascii="Times New Roman" w:cs="Times New Roman" w:eastAsia="Times New Roman" w:hAnsi="Times New Roman"/>
          <w:sz w:val="18"/>
          <w:szCs w:val="18"/>
          <w:color w:val="auto"/>
        </w:rPr>
        <w:t>Income before income taxes for the three months ended June 30, 2024 increased 21.7%, or $23 million, as compared to the same period in 2023, to $129 million. The primary factors driving this increase were: (i) a decrease in intercompany interest expense and (ii) the profit associated with the net increase in revenue as described above.</w:t>
      </w:r>
    </w:p>
    <w:p>
      <w:pPr>
        <w:spacing w:after="0" w:line="69" w:lineRule="exact"/>
        <w:rPr>
          <w:sz w:val="20"/>
          <w:szCs w:val="20"/>
          <w:color w:val="auto"/>
        </w:rPr>
      </w:pPr>
    </w:p>
    <w:p>
      <w:pPr>
        <w:ind w:right="100" w:firstLine="494"/>
        <w:spacing w:after="0" w:line="258" w:lineRule="auto"/>
        <w:rPr>
          <w:sz w:val="20"/>
          <w:szCs w:val="20"/>
          <w:color w:val="auto"/>
        </w:rPr>
      </w:pPr>
      <w:r>
        <w:rPr>
          <w:rFonts w:ascii="Times New Roman" w:cs="Times New Roman" w:eastAsia="Times New Roman" w:hAnsi="Times New Roman"/>
          <w:sz w:val="18"/>
          <w:szCs w:val="18"/>
          <w:color w:val="auto"/>
        </w:rPr>
        <w:t>EBITDAC - Adjusted for the three months ended June 30, 2024 increased 9.0%, or $15 million, as compared to the same period in 2023, to $181 million. EBITDAC Margin - Adjusted for the three months ended June 30, 2024 decreased to 28.0% from 28.1% in the same period in 2023. The decrease in EBITDAC Margin - Adjusted was primarily driven by: (i) a decrease in profit-sharing contingent commissions and, to a lesser extent, (ii) higher non-cash stock-based compensation and (iii) higher performance-based compensation associated with the increased level of Organic Revenue growth which was partially offset by (iv) the net increase in revenue as described above and (v) leveraging our expense base.</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2" w:right="239" w:bottom="1440" w:gutter="0" w:footer="0" w:header="0"/>
        </w:sectPr>
      </w:pPr>
    </w:p>
    <w:bookmarkStart w:id="34" w:name="page35"/>
    <w:bookmarkEnd w:id="34"/>
    <w:p>
      <w:pPr>
        <w:ind w:right="40" w:firstLine="494"/>
        <w:spacing w:after="0" w:line="253" w:lineRule="auto"/>
        <w:rPr>
          <w:sz w:val="20"/>
          <w:szCs w:val="20"/>
          <w:color w:val="auto"/>
        </w:rPr>
      </w:pPr>
      <w:r>
        <w:rPr>
          <w:rFonts w:ascii="Times New Roman" w:cs="Times New Roman" w:eastAsia="Times New Roman" w:hAnsi="Times New Roman"/>
          <w:sz w:val="18"/>
          <w:szCs w:val="18"/>
          <w:color w:val="auto"/>
        </w:rPr>
        <w:t>The Retail segment’s total revenues for the six months ended June 30, 2024 increased 9.7%, or $128 million, as compared to the same period in 2023, to $1,452 million. The $135 million increase in core commissions and fees revenue was driven by: (i) approximately $39 million related to the core commissions and fees revenue from acquisitions that had no comparable revenues in the same period of 2023; (ii) an increase of $95 million related to net new and renewal business; (iii) an increase from the impact of Foreign Currency Translation of $4 million and (iv) an offsetting decrease of $3 million related to commissions and fees recorded in 2023 from businesses since divested. Profit-sharing contingent commissions for the six months of 2024 decreased 30.0%, or $9 million, as compared to the same period in 2023, to $21 million. This decrease was primarily the result of not qualifying for certain profit-sharing contingent commissions in 2024, due to higher loss ratios experienced by our insurance carrier partners, that we qualified for in the prior year. The Retail segment’s total commissions and fees increased by 10.4%, and the Organic Revenue growth rate was 7.4% for the first six months of 2024. The Organic Revenue growth rate was driven by net new business written during the preceding 12 months and growth on renewals of existing customers. Renewal business was impacted by rate increases with continued increases in property and casualty, employee benefits and auto.</w:t>
      </w:r>
    </w:p>
    <w:p>
      <w:pPr>
        <w:spacing w:after="0" w:line="83" w:lineRule="exact"/>
        <w:rPr>
          <w:sz w:val="20"/>
          <w:szCs w:val="20"/>
          <w:color w:val="auto"/>
        </w:rPr>
      </w:pPr>
    </w:p>
    <w:p>
      <w:pPr>
        <w:ind w:right="300" w:firstLine="494"/>
        <w:spacing w:after="0" w:line="265" w:lineRule="auto"/>
        <w:rPr>
          <w:sz w:val="20"/>
          <w:szCs w:val="20"/>
          <w:color w:val="auto"/>
        </w:rPr>
      </w:pPr>
      <w:r>
        <w:rPr>
          <w:rFonts w:ascii="Times New Roman" w:cs="Times New Roman" w:eastAsia="Times New Roman" w:hAnsi="Times New Roman"/>
          <w:sz w:val="18"/>
          <w:szCs w:val="18"/>
          <w:color w:val="auto"/>
        </w:rPr>
        <w:t>Income before income taxes for the six months ended June 30, 2024 increased 14.7%, or $47 million, as compared to the same period in 2023, to $367 million. The primary factors driving this increase were: (i) a decrease in intercompany interest expense and (ii) the profit associated with the net increase in revenue as described above.</w:t>
      </w:r>
    </w:p>
    <w:p>
      <w:pPr>
        <w:spacing w:after="0" w:line="69" w:lineRule="exact"/>
        <w:rPr>
          <w:sz w:val="20"/>
          <w:szCs w:val="20"/>
          <w:color w:val="auto"/>
        </w:rPr>
      </w:pPr>
    </w:p>
    <w:p>
      <w:pPr>
        <w:ind w:right="80" w:firstLine="494"/>
        <w:spacing w:after="0" w:line="258" w:lineRule="auto"/>
        <w:rPr>
          <w:sz w:val="20"/>
          <w:szCs w:val="20"/>
          <w:color w:val="auto"/>
        </w:rPr>
      </w:pPr>
      <w:r>
        <w:rPr>
          <w:rFonts w:ascii="Times New Roman" w:cs="Times New Roman" w:eastAsia="Times New Roman" w:hAnsi="Times New Roman"/>
          <w:sz w:val="18"/>
          <w:szCs w:val="18"/>
          <w:color w:val="auto"/>
        </w:rPr>
        <w:t>EBITDAC - Adjusted for the six months ended June 30, 2024 increased 8.5%, or $37 million, as compared to the same period in 2023, to $472 million. EBITDAC Margin - Adjusted for the six months ended June 30, 2024 decreased to 32.5% from 32.9% in the same period in 2023. The decrease in EBITDAC Margin - Adjusted was primarily driven by: (i) a decrease in profit-sharing contingent commissions and, to a lesser extent, (ii) higher non-cash stock-based compensation and (iii) higher performance-based compensation associated with increased level of Organic Revenue growth, which was partially offset by, (iv) the net increase in revenue as described above and (v) leveraging our expense base.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Programs Segment</w:t>
      </w:r>
    </w:p>
    <w:p>
      <w:pPr>
        <w:spacing w:after="0" w:line="121" w:lineRule="exact"/>
        <w:rPr>
          <w:sz w:val="20"/>
          <w:szCs w:val="20"/>
          <w:color w:val="auto"/>
        </w:rPr>
      </w:pPr>
    </w:p>
    <w:p>
      <w:pPr>
        <w:ind w:firstLine="494"/>
        <w:spacing w:after="0" w:line="253" w:lineRule="auto"/>
        <w:rPr>
          <w:sz w:val="20"/>
          <w:szCs w:val="20"/>
          <w:color w:val="auto"/>
        </w:rPr>
      </w:pPr>
      <w:r>
        <w:rPr>
          <w:rFonts w:ascii="Times New Roman" w:cs="Times New Roman" w:eastAsia="Times New Roman" w:hAnsi="Times New Roman"/>
          <w:sz w:val="18"/>
          <w:szCs w:val="18"/>
          <w:color w:val="auto"/>
        </w:rPr>
        <w:t>The Programs segment manages over 60 programs supported by over 100 well-capitalized carrier partners. In most cases, the insurance carriers that support these programs have delegated underwriting and, in many instances, claims-handling authority to our programs operations. These programs are generally distributed through a nationwide network of independent agents and Brown &amp; Brown retail agents, and offer targeted products and services designed for specific industries, trade groups, professions, public entities and market niches. This segment also operates our write-your-own flood insurance carrier, WNFIC and operates two Captives. WNFIC’s underwriting business consists of policies written on behalf of and fully ceded to the NFIP, as well as excess flood policies, which are fully reinsured in the private market. The Captives provide additional underwriting capacity that enable growth in core commissions and fees, and allow us to participate in underwriting results with limited exposure to claims expenses. The Company has traditionally participated in underwriting profits through profit-sharing contingent commissions. These Captives give us another way to continue to participate in underwriting results while limiting exposure to claims expenses. The Captives focus on property insurance for earthquake and wind exposed properties underwritten by certain of our MGUs. The Captives limit the Company's exposure to claims expenses either through reinsurance or by participating in limited tranches of the underwriting risk.</w:t>
      </w:r>
    </w:p>
    <w:p>
      <w:pPr>
        <w:spacing w:after="0" w:line="81" w:lineRule="exact"/>
        <w:rPr>
          <w:sz w:val="20"/>
          <w:szCs w:val="20"/>
          <w:color w:val="auto"/>
        </w:rPr>
      </w:pPr>
    </w:p>
    <w:p>
      <w:pPr>
        <w:ind w:right="500" w:firstLine="494"/>
        <w:spacing w:after="0" w:line="265" w:lineRule="auto"/>
        <w:rPr>
          <w:sz w:val="20"/>
          <w:szCs w:val="20"/>
          <w:color w:val="auto"/>
        </w:rPr>
      </w:pPr>
      <w:r>
        <w:rPr>
          <w:rFonts w:ascii="Times New Roman" w:cs="Times New Roman" w:eastAsia="Times New Roman" w:hAnsi="Times New Roman"/>
          <w:sz w:val="18"/>
          <w:szCs w:val="18"/>
          <w:color w:val="auto"/>
        </w:rPr>
        <w:t>The Programs segment operations can be grouped into five broad categories: Professional Programs, Personal Lines Programs, Commercial Programs, Public Entity-Related Programs and Specialty Programs. Approximately 76% of the Programs segment’s commissions and fees revenue is commission based.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5" w:name="page36"/>
    <w:bookmarkEnd w:id="35"/>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Programs segment is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260" w:type="dxa"/>
            <w:vAlign w:val="bottom"/>
          </w:tcPr>
          <w:p>
            <w:pPr>
              <w:spacing w:after="0"/>
              <w:rPr>
                <w:sz w:val="15"/>
                <w:szCs w:val="15"/>
                <w:color w:val="auto"/>
              </w:rPr>
            </w:pPr>
          </w:p>
        </w:tc>
        <w:tc>
          <w:tcPr>
            <w:tcW w:w="8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84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6"/>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tcBorders>
              <w:top w:val="single" w:sz="8" w:color="auto"/>
            </w:tcBorders>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commissions and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11.9 %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3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66.7 %</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121.7 %</w:t>
            </w:r>
          </w:p>
        </w:tc>
        <w:tc>
          <w:tcPr>
            <w:tcW w:w="0" w:type="dxa"/>
            <w:vAlign w:val="bottom"/>
          </w:tcPr>
          <w:p>
            <w:pPr>
              <w:spacing w:after="0"/>
              <w:rPr>
                <w:sz w:val="1"/>
                <w:szCs w:val="1"/>
                <w:color w:val="auto"/>
              </w:rPr>
            </w:pPr>
          </w:p>
        </w:tc>
      </w:tr>
      <w:tr>
        <w:trPr>
          <w:trHeight w:val="249"/>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150.0 %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49"/>
        </w:trPr>
        <w:tc>
          <w:tcPr>
            <w:tcW w:w="33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FF0FC"/>
            </w:tcBorders>
            <w:gridSpan w:val="2"/>
            <w:shd w:val="clear" w:color="auto" w:fill="CFF0FC"/>
          </w:tcPr>
          <w:p>
            <w:pPr>
              <w:spacing w:after="0"/>
              <w:rPr>
                <w:sz w:val="21"/>
                <w:szCs w:val="21"/>
                <w:color w:val="auto"/>
              </w:rPr>
            </w:pPr>
          </w:p>
        </w:tc>
        <w:tc>
          <w:tcPr>
            <w:tcW w:w="1180" w:type="dxa"/>
            <w:vAlign w:val="bottom"/>
            <w:tcBorders>
              <w:bottom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NMF</w:t>
            </w:r>
          </w:p>
        </w:tc>
        <w:tc>
          <w:tcPr>
            <w:tcW w:w="26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gridSpan w:val="2"/>
            <w:shd w:val="clear" w:color="auto" w:fill="CFF0FC"/>
          </w:tcPr>
          <w:p>
            <w:pPr>
              <w:spacing w:after="0"/>
              <w:rPr>
                <w:sz w:val="21"/>
                <w:szCs w:val="21"/>
                <w:color w:val="auto"/>
              </w:rPr>
            </w:pPr>
          </w:p>
        </w:tc>
        <w:tc>
          <w:tcPr>
            <w:tcW w:w="108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NMF</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15.8 %</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247"/>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9.9 %</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7.4 %</w:t>
            </w:r>
          </w:p>
        </w:tc>
        <w:tc>
          <w:tcPr>
            <w:tcW w:w="0" w:type="dxa"/>
            <w:vAlign w:val="bottom"/>
          </w:tcPr>
          <w:p>
            <w:pPr>
              <w:spacing w:after="0"/>
              <w:rPr>
                <w:sz w:val="1"/>
                <w:szCs w:val="1"/>
                <w:color w:val="auto"/>
              </w:rPr>
            </w:pPr>
          </w:p>
        </w:tc>
      </w:tr>
      <w:tr>
        <w:trPr>
          <w:trHeight w:val="23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12.9 %</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9.9 %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(Gain)/loss on disposal</w:t>
            </w:r>
          </w:p>
        </w:tc>
        <w:tc>
          <w:tcPr>
            <w:tcW w:w="26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(29 )</w:t>
            </w:r>
          </w:p>
        </w:tc>
        <w:tc>
          <w:tcPr>
            <w:tcW w:w="240" w:type="dxa"/>
            <w:vAlign w:val="bottom"/>
          </w:tcPr>
          <w:p>
            <w:pPr>
              <w:spacing w:after="0"/>
              <w:rPr>
                <w:sz w:val="21"/>
                <w:szCs w:val="21"/>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NMF</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(28 )</w:t>
            </w:r>
          </w:p>
        </w:tc>
        <w:tc>
          <w:tcPr>
            <w:tcW w:w="260" w:type="dxa"/>
            <w:vAlign w:val="bottom"/>
          </w:tcPr>
          <w:p>
            <w:pPr>
              <w:spacing w:after="0"/>
              <w:rPr>
                <w:sz w:val="21"/>
                <w:szCs w:val="21"/>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tcPr>
          <w:p>
            <w:pPr>
              <w:spacing w:after="0"/>
              <w:rPr>
                <w:sz w:val="21"/>
                <w:szCs w:val="21"/>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33.3 %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2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acquisition</w:t>
            </w:r>
          </w:p>
        </w:tc>
        <w:tc>
          <w:tcPr>
            <w:tcW w:w="26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vMerge w:val="restart"/>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3"/>
            <w:vMerge w:val="restart"/>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earn-out payables</w:t>
            </w:r>
          </w:p>
        </w:tc>
        <w:tc>
          <w:tcPr>
            <w:tcW w:w="2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3"/>
            <w:vMerge w:val="continue"/>
          </w:tcPr>
          <w:p>
            <w:pPr>
              <w:spacing w:after="0"/>
              <w:rPr>
                <w:sz w:val="20"/>
                <w:szCs w:val="20"/>
                <w:color w:val="auto"/>
              </w:rPr>
            </w:pP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NMF</w:t>
            </w:r>
          </w:p>
        </w:tc>
        <w:tc>
          <w:tcPr>
            <w:tcW w:w="8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3"/>
            <w:vMerge w:val="continue"/>
          </w:tcPr>
          <w:p>
            <w:pPr>
              <w:spacing w:after="0"/>
              <w:rPr>
                <w:sz w:val="20"/>
                <w:szCs w:val="20"/>
                <w:color w:val="auto"/>
              </w:rPr>
            </w:pPr>
          </w:p>
        </w:tc>
        <w:tc>
          <w:tcPr>
            <w:tcW w:w="11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36"/>
        </w:trPr>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ind w:right="160"/>
              <w:spacing w:after="0" w:line="236" w:lineRule="exact"/>
              <w:rPr>
                <w:sz w:val="20"/>
                <w:szCs w:val="20"/>
                <w:color w:val="auto"/>
              </w:rPr>
            </w:pPr>
            <w:r>
              <w:rPr>
                <w:rFonts w:ascii="Times New Roman" w:cs="Times New Roman" w:eastAsia="Times New Roman" w:hAnsi="Times New Roman"/>
                <w:sz w:val="15"/>
                <w:szCs w:val="15"/>
                <w:color w:val="auto"/>
              </w:rPr>
              <w:t xml:space="preserve">47.6 % </w:t>
            </w:r>
            <w:r>
              <w:rPr>
                <w:rFonts w:ascii="Times New Roman" w:cs="Times New Roman" w:eastAsia="Times New Roman" w:hAnsi="Times New Roman"/>
                <w:sz w:val="27"/>
                <w:szCs w:val="27"/>
                <w:color w:val="auto"/>
                <w:vertAlign w:val="superscript"/>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43.2 %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300" w:type="dxa"/>
            <w:vAlign w:val="bottom"/>
            <w:shd w:val="clear" w:color="auto" w:fill="CFF0FC"/>
          </w:tcPr>
          <w:p>
            <w:pPr>
              <w:ind w:left="20"/>
              <w:spacing w:after="0" w:line="171" w:lineRule="exact"/>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3300" w:type="dxa"/>
            <w:vAlign w:val="bottom"/>
            <w:shd w:val="clear" w:color="auto" w:fill="CFF0FC"/>
          </w:tcPr>
          <w:p>
            <w:pPr>
              <w:ind w:left="160"/>
              <w:spacing w:after="0" w:line="267" w:lineRule="exact"/>
              <w:rPr>
                <w:sz w:val="20"/>
                <w:szCs w:val="20"/>
                <w:color w:val="auto"/>
              </w:rPr>
            </w:pPr>
            <w:r>
              <w:rPr>
                <w:rFonts w:ascii="Times New Roman" w:cs="Times New Roman" w:eastAsia="Times New Roman" w:hAnsi="Times New Roman"/>
                <w:sz w:val="18"/>
                <w:szCs w:val="18"/>
                <w:color w:val="auto"/>
              </w:rPr>
              <w:t xml:space="preserve">Margin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23"/>
                <w:szCs w:val="23"/>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51.0 %</w:t>
            </w:r>
          </w:p>
        </w:tc>
        <w:tc>
          <w:tcPr>
            <w:tcW w:w="240" w:type="dxa"/>
            <w:vAlign w:val="bottom"/>
            <w:shd w:val="clear" w:color="auto" w:fill="CFF0FC"/>
          </w:tcPr>
          <w:p>
            <w:pPr>
              <w:spacing w:after="0"/>
              <w:rPr>
                <w:sz w:val="23"/>
                <w:szCs w:val="23"/>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40.0 %</w:t>
            </w:r>
          </w:p>
        </w:tc>
        <w:tc>
          <w:tcPr>
            <w:tcW w:w="20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43.4 %</w:t>
            </w:r>
          </w:p>
        </w:tc>
        <w:tc>
          <w:tcPr>
            <w:tcW w:w="26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35.2 %</w:t>
            </w:r>
          </w:p>
        </w:tc>
        <w:tc>
          <w:tcPr>
            <w:tcW w:w="18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21.1 %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27.1 %</w:t>
            </w:r>
          </w:p>
        </w:tc>
        <w:tc>
          <w:tcPr>
            <w:tcW w:w="0" w:type="dxa"/>
            <w:vAlign w:val="bottom"/>
          </w:tcPr>
          <w:p>
            <w:pPr>
              <w:spacing w:after="0"/>
              <w:rPr>
                <w:sz w:val="1"/>
                <w:szCs w:val="1"/>
                <w:color w:val="auto"/>
              </w:rPr>
            </w:pPr>
          </w:p>
        </w:tc>
      </w:tr>
      <w:tr>
        <w:trPr>
          <w:trHeight w:val="243"/>
        </w:trPr>
        <w:tc>
          <w:tcPr>
            <w:tcW w:w="33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49.6 %</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47.4 %</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46.4 %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42.5 %</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15.4 %</w:t>
            </w: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20.8 %</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13.5 %</w:t>
            </w:r>
          </w:p>
        </w:tc>
        <w:tc>
          <w:tcPr>
            <w:tcW w:w="2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24.9 %</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relative to total revenues</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30.9 %</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32.6 %</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33.3 %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36.1 %</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 relative</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total revenues</w:t>
            </w:r>
          </w:p>
        </w:tc>
        <w:tc>
          <w:tcPr>
            <w:tcW w:w="2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19.5 %</w:t>
            </w:r>
          </w:p>
        </w:tc>
        <w:tc>
          <w:tcPr>
            <w:tcW w:w="2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20.0 %</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20.2 %</w:t>
            </w:r>
          </w:p>
        </w:tc>
        <w:tc>
          <w:tcPr>
            <w:tcW w:w="2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21.4 %</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100.0 %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June 30,</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18.2 %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-3972560</wp:posOffset>
            </wp:positionV>
            <wp:extent cx="71323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-3039110</wp:posOffset>
            </wp:positionV>
            <wp:extent cx="7132320" cy="15430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-2730500</wp:posOffset>
            </wp:positionV>
            <wp:extent cx="7132320" cy="15430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-2422525</wp:posOffset>
            </wp:positionV>
            <wp:extent cx="7132320" cy="15430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2804795</wp:posOffset>
            </wp:positionH>
            <wp:positionV relativeFrom="paragraph">
              <wp:posOffset>-3510280</wp:posOffset>
            </wp:positionV>
            <wp:extent cx="76835"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3661410</wp:posOffset>
            </wp:positionH>
            <wp:positionV relativeFrom="paragraph">
              <wp:posOffset>-3510280</wp:posOffset>
            </wp:positionV>
            <wp:extent cx="768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-3510280</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-3510280</wp:posOffset>
            </wp:positionV>
            <wp:extent cx="6858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-1977390</wp:posOffset>
            </wp:positionV>
            <wp:extent cx="7132320" cy="1625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239395</wp:posOffset>
            </wp:positionV>
            <wp:extent cx="19005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8" w:lineRule="exact"/>
        <w:rPr>
          <w:sz w:val="20"/>
          <w:szCs w:val="20"/>
          <w:color w:val="auto"/>
        </w:rPr>
      </w:pPr>
    </w:p>
    <w:p>
      <w:pPr>
        <w:ind w:right="180" w:firstLine="494"/>
        <w:spacing w:after="0" w:line="255" w:lineRule="auto"/>
        <w:rPr>
          <w:sz w:val="20"/>
          <w:szCs w:val="20"/>
          <w:color w:val="auto"/>
        </w:rPr>
      </w:pPr>
      <w:r>
        <w:rPr>
          <w:rFonts w:ascii="Times New Roman" w:cs="Times New Roman" w:eastAsia="Times New Roman" w:hAnsi="Times New Roman"/>
          <w:sz w:val="18"/>
          <w:szCs w:val="18"/>
          <w:color w:val="auto"/>
        </w:rPr>
        <w:t>The Programs segment’s total revenues for the three months ended June 30, 2024 increased 15.8%, or $49 million, as compared to the same period in 2023, to $359 million. The $35 million increase in core commissions and fees revenue was driven by: (i) approximately $20 million related to the core commissions and fees revenue from acquisitions that had no comparable revenues in the same period of 2023; (ii) approximately $41 million of net new business, renewal business, and fee revenues and (iii) an offsetting decrease of $26 million related to commissions and fees revenue from businesses divested in the preceding twelve months. Profit-sharing contingent commissions for the second quarter of 2024 increased approximately $10 million as compared to the second quarter of 2023. This increase was driven by improved underwriting results, qualifying for certain contingent commissions that we did not qualify for in the prior year, increased written premium and acquisitions completed in the past twelve months.</w:t>
      </w:r>
    </w:p>
    <w:p>
      <w:pPr>
        <w:spacing w:after="0" w:line="79" w:lineRule="exact"/>
        <w:rPr>
          <w:sz w:val="20"/>
          <w:szCs w:val="20"/>
          <w:color w:val="auto"/>
        </w:rPr>
      </w:pPr>
    </w:p>
    <w:p>
      <w:pPr>
        <w:jc w:val="both"/>
        <w:ind w:right="520" w:firstLine="494"/>
        <w:spacing w:after="0" w:line="265" w:lineRule="auto"/>
        <w:rPr>
          <w:sz w:val="20"/>
          <w:szCs w:val="20"/>
          <w:color w:val="auto"/>
        </w:rPr>
      </w:pPr>
      <w:r>
        <w:rPr>
          <w:rFonts w:ascii="Times New Roman" w:cs="Times New Roman" w:eastAsia="Times New Roman" w:hAnsi="Times New Roman"/>
          <w:sz w:val="18"/>
          <w:szCs w:val="18"/>
          <w:color w:val="auto"/>
        </w:rPr>
        <w:t>The Programs segment’s total commissions and fees increased by 11.9%, and the Organic Revenue growth rate was 15.4% for the three months ended June 30, 2024. The Organic Revenue growth was driven by strong new business, good retention and a growth incentive received for one of our programs.</w:t>
      </w:r>
    </w:p>
    <w:p>
      <w:pPr>
        <w:spacing w:after="0" w:line="69" w:lineRule="exact"/>
        <w:rPr>
          <w:sz w:val="20"/>
          <w:szCs w:val="20"/>
          <w:color w:val="auto"/>
        </w:rPr>
      </w:pPr>
    </w:p>
    <w:p>
      <w:pPr>
        <w:jc w:val="both"/>
        <w:ind w:right="220" w:firstLine="494"/>
        <w:spacing w:after="0" w:line="265" w:lineRule="auto"/>
        <w:rPr>
          <w:sz w:val="20"/>
          <w:szCs w:val="20"/>
          <w:color w:val="auto"/>
        </w:rPr>
      </w:pPr>
      <w:r>
        <w:rPr>
          <w:rFonts w:ascii="Times New Roman" w:cs="Times New Roman" w:eastAsia="Times New Roman" w:hAnsi="Times New Roman"/>
          <w:sz w:val="18"/>
          <w:szCs w:val="18"/>
          <w:color w:val="auto"/>
        </w:rPr>
        <w:t>Income before income taxes for the three months ended June 30, 2024 increased 47.6%, or $59 million, as compared to the same period in 2023, to $183 million. Income before income taxes increased due to the drivers of EBITDAC - Adjusted described below along with the gain on disposal of certain businesses.</w:t>
      </w:r>
    </w:p>
    <w:p>
      <w:pPr>
        <w:spacing w:after="0" w:line="69" w:lineRule="exact"/>
        <w:rPr>
          <w:sz w:val="20"/>
          <w:szCs w:val="20"/>
          <w:color w:val="auto"/>
        </w:rPr>
      </w:pPr>
    </w:p>
    <w:p>
      <w:pPr>
        <w:ind w:right="220" w:firstLine="494"/>
        <w:spacing w:after="0" w:line="260" w:lineRule="auto"/>
        <w:rPr>
          <w:sz w:val="20"/>
          <w:szCs w:val="20"/>
          <w:color w:val="auto"/>
        </w:rPr>
      </w:pPr>
      <w:r>
        <w:rPr>
          <w:rFonts w:ascii="Times New Roman" w:cs="Times New Roman" w:eastAsia="Times New Roman" w:hAnsi="Times New Roman"/>
          <w:sz w:val="18"/>
          <w:szCs w:val="18"/>
          <w:color w:val="auto"/>
        </w:rPr>
        <w:t>EBITDAC - Adjusted for the three months ended June 30, 2024 increased 21.1%, or $31 million, from the same period in 2023, to $178 million. EBITDAC Margin - Adjusted for the three months ended June 30, 2024 increased to 49.6% from 47.4% in the same period in 2023. EBITDAC - Adjusted grew due to the sale of certain third-party claims administration and adjusting services businesses in the fourth quarter of 2023, higher profit-sharing contingent commissions, and leveraging our expense base.</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2" w:right="239" w:bottom="1440" w:gutter="0" w:footer="0" w:header="0"/>
        </w:sectPr>
      </w:pPr>
    </w:p>
    <w:bookmarkStart w:id="36" w:name="page37"/>
    <w:bookmarkEnd w:id="36"/>
    <w:p>
      <w:pPr>
        <w:ind w:right="200" w:firstLine="494"/>
        <w:spacing w:after="0" w:line="255" w:lineRule="auto"/>
        <w:rPr>
          <w:sz w:val="20"/>
          <w:szCs w:val="20"/>
          <w:color w:val="auto"/>
        </w:rPr>
      </w:pPr>
      <w:r>
        <w:rPr>
          <w:rFonts w:ascii="Times New Roman" w:cs="Times New Roman" w:eastAsia="Times New Roman" w:hAnsi="Times New Roman"/>
          <w:sz w:val="18"/>
          <w:szCs w:val="18"/>
          <w:color w:val="auto"/>
        </w:rPr>
        <w:t>The Programs segment’s total revenues for the six months ended June 30, 2024 increased 16.3%, or $92 million, as compared to the same period in 2023, to $657 million. The $55 million increase in core commissions and fees revenue was driven by: (i) approximately $66 million of net new renewal business and fee revenues; (ii) an offsetting decrease of $51 million related to commissions and fees revenue from business divested in the preceding 12 months and (iii) $40 million from acquisitions that had no comparable revenues in the same period of 2023. Profit-sharing contingent commissions for the six months ended June 30, 2023 increased approximately $28 million, or by 121.7%, as compared to the same period in 2023. This increase was driven by qualifying for certain contingent commissions that we did not qualify for in the prior year from greater written premium, favorable loss ratios, prior year adjustments and acquisitions.</w:t>
      </w:r>
    </w:p>
    <w:p>
      <w:pPr>
        <w:spacing w:after="0" w:line="79" w:lineRule="exact"/>
        <w:rPr>
          <w:sz w:val="20"/>
          <w:szCs w:val="20"/>
          <w:color w:val="auto"/>
        </w:rPr>
      </w:pPr>
    </w:p>
    <w:p>
      <w:pPr>
        <w:ind w:right="100" w:firstLine="494"/>
        <w:spacing w:after="0" w:line="265" w:lineRule="auto"/>
        <w:rPr>
          <w:sz w:val="20"/>
          <w:szCs w:val="20"/>
          <w:color w:val="auto"/>
        </w:rPr>
      </w:pPr>
      <w:r>
        <w:rPr>
          <w:rFonts w:ascii="Times New Roman" w:cs="Times New Roman" w:eastAsia="Times New Roman" w:hAnsi="Times New Roman"/>
          <w:sz w:val="18"/>
          <w:szCs w:val="18"/>
          <w:color w:val="auto"/>
        </w:rPr>
        <w:t>The Programs segment’s total commissions and fees increased by 10.2%, and the Organic Revenue growth rate was 13.5%, for the six months ended June 30, 2024. The Organic Revenue growth was driven primarily by strong net new business across most of our Programs and good retention, a growth incentive received for one of our programs and offset by nonrecurring claims revenue in the prior year.</w:t>
      </w:r>
    </w:p>
    <w:p>
      <w:pPr>
        <w:spacing w:after="0" w:line="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Income before income taxes for the six months ended June 30, 2024 increased 43.2%, or $86 million, from the same period in 2023, to $285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income taxes increased due to the drivers of EBITDAC - Adjusted described below along with the gain on disposal of certain businesses.</w:t>
      </w:r>
    </w:p>
    <w:p>
      <w:pPr>
        <w:spacing w:after="0" w:line="98" w:lineRule="exact"/>
        <w:rPr>
          <w:sz w:val="20"/>
          <w:szCs w:val="20"/>
          <w:color w:val="auto"/>
        </w:rPr>
      </w:pPr>
    </w:p>
    <w:p>
      <w:pPr>
        <w:ind w:right="320" w:firstLine="494"/>
        <w:spacing w:after="0" w:line="260" w:lineRule="auto"/>
        <w:rPr>
          <w:sz w:val="20"/>
          <w:szCs w:val="20"/>
          <w:color w:val="auto"/>
        </w:rPr>
      </w:pPr>
      <w:r>
        <w:rPr>
          <w:rFonts w:ascii="Times New Roman" w:cs="Times New Roman" w:eastAsia="Times New Roman" w:hAnsi="Times New Roman"/>
          <w:sz w:val="18"/>
          <w:szCs w:val="18"/>
          <w:color w:val="auto"/>
        </w:rPr>
        <w:t>EBITDAC - Adjusted for the six months ended June 30, 2024 increased 27.1%, or $65 million, as compared to the same period in 2023, to $305 million. EBITDAC Margin - Adjusted for the six months ended June 30, 2024 increased to 46.4% from 42.5% in the same period in 2023. EBITDAC - Adjusted increased due the sale of certain third-party claims administration and adjusting services businesses in the fourth quarter of 2023, higher profit-sharing contingent commissions, and leveraging our expense base.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Wholesale Brokerage Segment</w:t>
      </w:r>
    </w:p>
    <w:p>
      <w:pPr>
        <w:spacing w:after="0" w:line="121" w:lineRule="exact"/>
        <w:rPr>
          <w:sz w:val="20"/>
          <w:szCs w:val="20"/>
          <w:color w:val="auto"/>
        </w:rPr>
      </w:pPr>
    </w:p>
    <w:p>
      <w:pPr>
        <w:ind w:right="240" w:firstLine="494"/>
        <w:spacing w:after="0" w:line="265" w:lineRule="auto"/>
        <w:rPr>
          <w:sz w:val="20"/>
          <w:szCs w:val="20"/>
          <w:color w:val="auto"/>
        </w:rPr>
      </w:pPr>
      <w:r>
        <w:rPr>
          <w:rFonts w:ascii="Times New Roman" w:cs="Times New Roman" w:eastAsia="Times New Roman" w:hAnsi="Times New Roman"/>
          <w:sz w:val="18"/>
          <w:szCs w:val="18"/>
          <w:color w:val="auto"/>
        </w:rPr>
        <w:t>The Wholesale Brokerage segment markets and sells excess and surplus commercial and personal lines insurance, primarily through independent agents and brokers, including Brown &amp; Brown retail agents. Approximately 86% of the Wholesale Brokerage segment’s commissions and fees revenue is commission based.</w:t>
      </w:r>
    </w:p>
    <w:p>
      <w:pPr>
        <w:spacing w:after="0" w:line="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Financial information relating to our Wholesale Brokerage segment is as follows: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9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6"/>
          </w:tcPr>
          <w:p>
            <w:pPr>
              <w:ind w:left="8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 except percentages)</w:t>
            </w: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Core commissions and fees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13.2 %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3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Profit-sharing contingent commissions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33.3 %</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NMF</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NMF</w:t>
            </w:r>
          </w:p>
        </w:tc>
        <w:tc>
          <w:tcPr>
            <w:tcW w:w="0" w:type="dxa"/>
            <w:vAlign w:val="bottom"/>
          </w:tcPr>
          <w:p>
            <w:pPr>
              <w:spacing w:after="0"/>
              <w:rPr>
                <w:sz w:val="1"/>
                <w:szCs w:val="1"/>
                <w:color w:val="auto"/>
              </w:rPr>
            </w:pPr>
          </w:p>
        </w:tc>
      </w:tr>
      <w:tr>
        <w:trPr>
          <w:trHeight w:val="25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22"/>
                <w:szCs w:val="22"/>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2"/>
                <w:szCs w:val="22"/>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2"/>
        </w:trPr>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14.4 %</w:t>
            </w:r>
          </w:p>
        </w:tc>
        <w:tc>
          <w:tcPr>
            <w:tcW w:w="26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47"/>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13.9 %</w:t>
            </w: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13.7 %</w:t>
            </w:r>
          </w:p>
        </w:tc>
        <w:tc>
          <w:tcPr>
            <w:tcW w:w="0" w:type="dxa"/>
            <w:vAlign w:val="bottom"/>
          </w:tcPr>
          <w:p>
            <w:pPr>
              <w:spacing w:after="0"/>
              <w:rPr>
                <w:sz w:val="1"/>
                <w:szCs w:val="1"/>
                <w:color w:val="auto"/>
              </w:rPr>
            </w:pPr>
          </w:p>
        </w:tc>
      </w:tr>
      <w:tr>
        <w:trPr>
          <w:trHeight w:val="238"/>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(Gain)/loss on disposal</w:t>
            </w:r>
          </w:p>
        </w:tc>
        <w:tc>
          <w:tcPr>
            <w:tcW w:w="260" w:type="dxa"/>
            <w:vAlign w:val="bottom"/>
          </w:tcPr>
          <w:p>
            <w:pPr>
              <w:spacing w:after="0"/>
              <w:rPr>
                <w:sz w:val="21"/>
                <w:szCs w:val="21"/>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20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4"/>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estimated acquisition</w:t>
            </w:r>
          </w:p>
        </w:tc>
        <w:tc>
          <w:tcPr>
            <w:tcW w:w="260" w:type="dxa"/>
            <w:vAlign w:val="bottom"/>
          </w:tcPr>
          <w:p>
            <w:pPr>
              <w:spacing w:after="0"/>
              <w:rPr>
                <w:sz w:val="19"/>
                <w:szCs w:val="19"/>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(1 )</w:t>
            </w:r>
          </w:p>
        </w:tc>
        <w:tc>
          <w:tcPr>
            <w:tcW w:w="240" w:type="dxa"/>
            <w:vAlign w:val="bottom"/>
          </w:tcPr>
          <w:p>
            <w:pPr>
              <w:spacing w:after="0"/>
              <w:rPr>
                <w:sz w:val="19"/>
                <w:szCs w:val="19"/>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(2 )</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260" w:type="dxa"/>
            <w:vAlign w:val="bottom"/>
          </w:tcPr>
          <w:p>
            <w:pPr>
              <w:spacing w:after="0"/>
              <w:rPr>
                <w:sz w:val="19"/>
                <w:szCs w:val="19"/>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earn-out payables</w:t>
            </w:r>
          </w:p>
        </w:tc>
        <w:tc>
          <w:tcPr>
            <w:tcW w:w="26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260" w:type="dxa"/>
            <w:vAlign w:val="bottom"/>
          </w:tcPr>
          <w:p>
            <w:pPr>
              <w:spacing w:after="0"/>
              <w:rPr>
                <w:sz w:val="20"/>
                <w:szCs w:val="20"/>
                <w:color w:val="auto"/>
              </w:rPr>
            </w:pPr>
          </w:p>
        </w:tc>
        <w:tc>
          <w:tcPr>
            <w:tcW w:w="106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50.0 %</w:t>
            </w:r>
          </w:p>
        </w:tc>
        <w:tc>
          <w:tcPr>
            <w:tcW w:w="0" w:type="dxa"/>
            <w:vAlign w:val="bottom"/>
          </w:tcPr>
          <w:p>
            <w:pPr>
              <w:spacing w:after="0"/>
              <w:rPr>
                <w:sz w:val="1"/>
                <w:szCs w:val="1"/>
                <w:color w:val="auto"/>
              </w:rPr>
            </w:pPr>
          </w:p>
        </w:tc>
      </w:tr>
      <w:tr>
        <w:trPr>
          <w:trHeight w:val="236"/>
        </w:trPr>
        <w:tc>
          <w:tcPr>
            <w:tcW w:w="33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10.9 %</w:t>
            </w:r>
          </w:p>
        </w:tc>
        <w:tc>
          <w:tcPr>
            <w:tcW w:w="26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0" w:type="dxa"/>
            <w:vAlign w:val="bottom"/>
          </w:tcPr>
          <w:p>
            <w:pPr>
              <w:spacing w:after="0"/>
              <w:rPr>
                <w:sz w:val="1"/>
                <w:szCs w:val="1"/>
                <w:color w:val="auto"/>
              </w:rPr>
            </w:pPr>
          </w:p>
        </w:tc>
      </w:tr>
      <w:tr>
        <w:trPr>
          <w:trHeight w:val="236"/>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6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3"/>
          </w:tcPr>
          <w:p>
            <w:pPr>
              <w:jc w:val="right"/>
              <w:ind w:right="160"/>
              <w:spacing w:after="0" w:line="236" w:lineRule="exact"/>
              <w:rPr>
                <w:sz w:val="20"/>
                <w:szCs w:val="20"/>
                <w:color w:val="auto"/>
              </w:rPr>
            </w:pPr>
            <w:r>
              <w:rPr>
                <w:rFonts w:ascii="Times New Roman" w:cs="Times New Roman" w:eastAsia="Times New Roman" w:hAnsi="Times New Roman"/>
                <w:sz w:val="15"/>
                <w:szCs w:val="15"/>
                <w:color w:val="auto"/>
              </w:rPr>
              <w:t xml:space="preserve">23.7 % </w:t>
            </w:r>
            <w:r>
              <w:rPr>
                <w:rFonts w:ascii="Times New Roman" w:cs="Times New Roman" w:eastAsia="Times New Roman" w:hAnsi="Times New Roman"/>
                <w:sz w:val="27"/>
                <w:szCs w:val="27"/>
                <w:color w:val="auto"/>
                <w:vertAlign w:val="superscript"/>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27.5 %</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300" w:type="dxa"/>
            <w:vAlign w:val="bottom"/>
            <w:shd w:val="clear" w:color="auto" w:fill="CFF0FC"/>
          </w:tcPr>
          <w:p>
            <w:pPr>
              <w:ind w:left="20"/>
              <w:spacing w:after="0" w:line="171" w:lineRule="exact"/>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3300" w:type="dxa"/>
            <w:vAlign w:val="bottom"/>
            <w:shd w:val="clear" w:color="auto" w:fill="CFF0FC"/>
          </w:tcPr>
          <w:p>
            <w:pPr>
              <w:ind w:left="160"/>
              <w:spacing w:after="0" w:line="267" w:lineRule="exact"/>
              <w:rPr>
                <w:sz w:val="20"/>
                <w:szCs w:val="20"/>
                <w:color w:val="auto"/>
              </w:rPr>
            </w:pPr>
            <w:r>
              <w:rPr>
                <w:rFonts w:ascii="Times New Roman" w:cs="Times New Roman" w:eastAsia="Times New Roman" w:hAnsi="Times New Roman"/>
                <w:sz w:val="18"/>
                <w:szCs w:val="18"/>
                <w:color w:val="auto"/>
              </w:rPr>
              <w:t xml:space="preserve">Margin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23"/>
                <w:szCs w:val="23"/>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29.6 %</w:t>
            </w:r>
          </w:p>
        </w:tc>
        <w:tc>
          <w:tcPr>
            <w:tcW w:w="240" w:type="dxa"/>
            <w:vAlign w:val="bottom"/>
            <w:shd w:val="clear" w:color="auto" w:fill="CFF0FC"/>
          </w:tcPr>
          <w:p>
            <w:pPr>
              <w:spacing w:after="0"/>
              <w:rPr>
                <w:sz w:val="23"/>
                <w:szCs w:val="23"/>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27.3 %</w:t>
            </w:r>
          </w:p>
        </w:tc>
        <w:tc>
          <w:tcPr>
            <w:tcW w:w="200" w:type="dxa"/>
            <w:vAlign w:val="bottom"/>
            <w:shd w:val="clear" w:color="auto" w:fill="CFF0FC"/>
          </w:tcPr>
          <w:p>
            <w:pPr>
              <w:spacing w:after="0"/>
              <w:rPr>
                <w:sz w:val="23"/>
                <w:szCs w:val="23"/>
                <w:color w:val="auto"/>
              </w:rPr>
            </w:pPr>
          </w:p>
        </w:tc>
        <w:tc>
          <w:tcPr>
            <w:tcW w:w="960" w:type="dxa"/>
            <w:vAlign w:val="bottom"/>
            <w:shd w:val="clear" w:color="auto" w:fill="CFF0FC"/>
          </w:tcPr>
          <w:p>
            <w:pPr>
              <w:spacing w:after="0"/>
              <w:rPr>
                <w:sz w:val="23"/>
                <w:szCs w:val="23"/>
                <w:color w:val="auto"/>
              </w:rPr>
            </w:pPr>
          </w:p>
        </w:tc>
        <w:tc>
          <w:tcPr>
            <w:tcW w:w="220" w:type="dxa"/>
            <w:vAlign w:val="bottom"/>
            <w:shd w:val="clear" w:color="auto" w:fill="CFF0FC"/>
          </w:tcPr>
          <w:p>
            <w:pPr>
              <w:spacing w:after="0"/>
              <w:rPr>
                <w:sz w:val="23"/>
                <w:szCs w:val="23"/>
                <w:color w:val="auto"/>
              </w:rPr>
            </w:pPr>
          </w:p>
        </w:tc>
        <w:tc>
          <w:tcPr>
            <w:tcW w:w="260" w:type="dxa"/>
            <w:vAlign w:val="bottom"/>
            <w:shd w:val="clear" w:color="auto" w:fill="CFF0FC"/>
          </w:tcPr>
          <w:p>
            <w:pPr>
              <w:spacing w:after="0"/>
              <w:rPr>
                <w:sz w:val="23"/>
                <w:szCs w:val="23"/>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29.2 %</w:t>
            </w:r>
          </w:p>
        </w:tc>
        <w:tc>
          <w:tcPr>
            <w:tcW w:w="26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26.3 %</w:t>
            </w:r>
          </w:p>
        </w:tc>
        <w:tc>
          <w:tcPr>
            <w:tcW w:w="180" w:type="dxa"/>
            <w:vAlign w:val="bottom"/>
            <w:shd w:val="clear" w:color="auto" w:fill="CFF0FC"/>
          </w:tcPr>
          <w:p>
            <w:pPr>
              <w:spacing w:after="0"/>
              <w:rPr>
                <w:sz w:val="23"/>
                <w:szCs w:val="23"/>
                <w:color w:val="auto"/>
              </w:rPr>
            </w:pPr>
          </w:p>
        </w:tc>
        <w:tc>
          <w:tcPr>
            <w:tcW w:w="980" w:type="dxa"/>
            <w:vAlign w:val="bottom"/>
            <w:shd w:val="clear" w:color="auto" w:fill="CFF0FC"/>
          </w:tcPr>
          <w:p>
            <w:pPr>
              <w:spacing w:after="0"/>
              <w:rPr>
                <w:sz w:val="23"/>
                <w:szCs w:val="23"/>
                <w:color w:val="auto"/>
              </w:rPr>
            </w:pPr>
          </w:p>
        </w:tc>
        <w:tc>
          <w:tcPr>
            <w:tcW w:w="100" w:type="dxa"/>
            <w:vAlign w:val="bottom"/>
            <w:shd w:val="clear" w:color="auto" w:fill="CFF0FC"/>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EBITDAC - Adjusted </w:t>
            </w:r>
            <w:r>
              <w:rPr>
                <w:rFonts w:ascii="Times New Roman" w:cs="Times New Roman" w:eastAsia="Times New Roman" w:hAnsi="Times New Roman"/>
                <w:sz w:val="24"/>
                <w:szCs w:val="24"/>
                <w:color w:val="auto"/>
                <w:vertAlign w:val="superscript"/>
              </w:rPr>
              <w:t>(2)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23.3 %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0" w:type="dxa"/>
            <w:vAlign w:val="bottom"/>
          </w:tcPr>
          <w:p>
            <w:pPr>
              <w:spacing w:after="0"/>
              <w:rPr>
                <w:sz w:val="1"/>
                <w:szCs w:val="1"/>
                <w:color w:val="auto"/>
              </w:rPr>
            </w:pPr>
          </w:p>
        </w:tc>
      </w:tr>
      <w:tr>
        <w:trPr>
          <w:trHeight w:val="243"/>
        </w:trPr>
        <w:tc>
          <w:tcPr>
            <w:tcW w:w="33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EBITDAC Margin - Adjusted </w:t>
            </w:r>
            <w:r>
              <w:rPr>
                <w:rFonts w:ascii="Times New Roman" w:cs="Times New Roman" w:eastAsia="Times New Roman" w:hAnsi="Times New Roman"/>
                <w:sz w:val="24"/>
                <w:szCs w:val="24"/>
                <w:color w:val="auto"/>
                <w:vertAlign w:val="superscript"/>
              </w:rPr>
              <w:t>(2)</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33.3 %</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30.9 %</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32.9 %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30.9 %</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Organic Revenue growth rate </w:t>
            </w:r>
            <w:r>
              <w:rPr>
                <w:rFonts w:ascii="Times New Roman" w:cs="Times New Roman" w:eastAsia="Times New Roman" w:hAnsi="Times New Roman"/>
                <w:sz w:val="24"/>
                <w:szCs w:val="24"/>
                <w:color w:val="auto"/>
                <w:vertAlign w:val="superscript"/>
              </w:rPr>
              <w:t>(2)</w:t>
            </w:r>
          </w:p>
        </w:tc>
        <w:tc>
          <w:tcPr>
            <w:tcW w:w="26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11.0 %</w:t>
            </w:r>
          </w:p>
        </w:tc>
        <w:tc>
          <w:tcPr>
            <w:tcW w:w="24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13.9 %</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11.0 %</w:t>
            </w:r>
          </w:p>
        </w:tc>
        <w:tc>
          <w:tcPr>
            <w:tcW w:w="26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10.7 %</w:t>
            </w: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 and benefits</w:t>
            </w: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relative to total revenues</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51.6 %</w:t>
            </w:r>
          </w:p>
        </w:tc>
        <w:tc>
          <w:tcPr>
            <w:tcW w:w="24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51.8 %</w:t>
            </w:r>
          </w:p>
        </w:tc>
        <w:tc>
          <w:tcPr>
            <w:tcW w:w="20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52.5 %</w:t>
            </w:r>
          </w:p>
        </w:tc>
        <w:tc>
          <w:tcPr>
            <w:tcW w:w="26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53.1 %</w:t>
            </w:r>
          </w:p>
        </w:tc>
        <w:tc>
          <w:tcPr>
            <w:tcW w:w="1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operating expenses relative to</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15.1 %</w:t>
            </w:r>
          </w:p>
        </w:tc>
        <w:tc>
          <w:tcPr>
            <w:tcW w:w="240" w:type="dxa"/>
            <w:vAlign w:val="bottom"/>
          </w:tcPr>
          <w:p>
            <w:pPr>
              <w:spacing w:after="0"/>
              <w:rPr>
                <w:sz w:val="20"/>
                <w:szCs w:val="20"/>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17.3 %</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14.6 %</w:t>
            </w:r>
          </w:p>
        </w:tc>
        <w:tc>
          <w:tcPr>
            <w:tcW w:w="26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16.0 %</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NMF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3"/>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June 30,</w:t>
            </w: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2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0" w:type="dxa"/>
            <w:vAlign w:val="bottom"/>
          </w:tcPr>
          <w:p>
            <w:pPr>
              <w:spacing w:after="0"/>
              <w:rPr>
                <w:sz w:val="1"/>
                <w:szCs w:val="1"/>
                <w:color w:val="auto"/>
              </w:rPr>
            </w:pPr>
          </w:p>
        </w:tc>
      </w:tr>
      <w:tr>
        <w:trPr>
          <w:trHeight w:val="661"/>
        </w:trPr>
        <w:tc>
          <w:tcPr>
            <w:tcW w:w="3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3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-4888230</wp:posOffset>
            </wp:positionV>
            <wp:extent cx="7132320" cy="1543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-3955415</wp:posOffset>
            </wp:positionV>
            <wp:extent cx="7132320" cy="15430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-3646805</wp:posOffset>
            </wp:positionV>
            <wp:extent cx="7132320" cy="15430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-3338830</wp:posOffset>
            </wp:positionV>
            <wp:extent cx="7132320" cy="15430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-1215390</wp:posOffset>
            </wp:positionV>
            <wp:extent cx="7132320" cy="1543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-4580255</wp:posOffset>
            </wp:positionV>
            <wp:extent cx="7132320" cy="16256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-2893695</wp:posOffset>
            </wp:positionV>
            <wp:extent cx="7132320" cy="1625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00"/>
          </w:cols>
          <w:pgMar w:left="320" w:top="1092" w:right="279" w:bottom="843" w:gutter="0" w:footer="0" w:header="0"/>
        </w:sectPr>
      </w:pPr>
    </w:p>
    <w:bookmarkStart w:id="37" w:name="page38"/>
    <w:bookmarkEnd w:id="37"/>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868045</wp:posOffset>
            </wp:positionV>
            <wp:extent cx="190055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900555" cy="8255"/>
                    </a:xfrm>
                    <a:prstGeom prst="rect">
                      <a:avLst/>
                    </a:prstGeom>
                    <a:noFill/>
                  </pic:spPr>
                </pic:pic>
              </a:graphicData>
            </a:graphic>
          </wp:anchor>
        </w:drawing>
        <w:t>"Income Before Income Taxes Margin" is defined as income before income taxes divided by total revenues.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non-GAAP financial measure.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NMF = Not a meaningful figure</w:t>
      </w:r>
    </w:p>
    <w:p>
      <w:pPr>
        <w:spacing w:after="0" w:line="98" w:lineRule="exact"/>
        <w:rPr>
          <w:sz w:val="20"/>
          <w:szCs w:val="20"/>
          <w:color w:val="auto"/>
        </w:rPr>
      </w:pPr>
    </w:p>
    <w:p>
      <w:pPr>
        <w:ind w:firstLine="494"/>
        <w:spacing w:after="0" w:line="255" w:lineRule="auto"/>
        <w:rPr>
          <w:sz w:val="20"/>
          <w:szCs w:val="20"/>
          <w:color w:val="auto"/>
        </w:rPr>
      </w:pPr>
      <w:r>
        <w:rPr>
          <w:rFonts w:ascii="Times New Roman" w:cs="Times New Roman" w:eastAsia="Times New Roman" w:hAnsi="Times New Roman"/>
          <w:sz w:val="18"/>
          <w:szCs w:val="18"/>
          <w:color w:val="auto"/>
        </w:rPr>
        <w:t>The Wholesale Brokerage segment’s total revenues for the three months ended June 30, 2024 increased 14.4%, or $20 million, as compared to the same period in 2023, to $159 million. The $18 million net increase in core commissions and fees revenue was driven primarily by: (i) $15 million related to net new and renewal business and (ii) $3 million related to the core commissions and fees revenue from acquisitions that had no comparable revenues in the same period of 2023. Profit-sharing contingent commissions for the second quarter of 2024 increased $1 million compared to the second quarter of 2023, driven by acquired businesses in the last year. The Wholesale Brokerage segment’s growth rate for total commissions and fees was 13.2%, and the Organic Revenue growth rate was 11.0% for the second quarter of 2024. The Organic Revenue growth rate was driven by strong new business and good retention, as well as a combination of rate and exposure unit increases.</w:t>
      </w:r>
    </w:p>
    <w:p>
      <w:pPr>
        <w:spacing w:after="0" w:line="79" w:lineRule="exact"/>
        <w:rPr>
          <w:sz w:val="20"/>
          <w:szCs w:val="20"/>
          <w:color w:val="auto"/>
        </w:rPr>
      </w:pPr>
    </w:p>
    <w:p>
      <w:pPr>
        <w:ind w:right="240" w:firstLine="494"/>
        <w:spacing w:after="0" w:line="312" w:lineRule="auto"/>
        <w:rPr>
          <w:sz w:val="20"/>
          <w:szCs w:val="20"/>
          <w:color w:val="auto"/>
        </w:rPr>
      </w:pPr>
      <w:r>
        <w:rPr>
          <w:rFonts w:ascii="Times New Roman" w:cs="Times New Roman" w:eastAsia="Times New Roman" w:hAnsi="Times New Roman"/>
          <w:sz w:val="17"/>
          <w:szCs w:val="17"/>
          <w:color w:val="auto"/>
        </w:rPr>
        <w:t>Income before income taxes for the three months ended June 30, 2024 increased 23.7%, or $9 million, as compared to the same period in 2023, to $47 million due to: (i) the growth of EBITDAC - Adjusted described below and (ii) a decrease in the change in estimated acquisition earn-out payables.</w:t>
      </w:r>
    </w:p>
    <w:p>
      <w:pPr>
        <w:spacing w:after="0" w:line="31" w:lineRule="exact"/>
        <w:rPr>
          <w:sz w:val="20"/>
          <w:szCs w:val="20"/>
          <w:color w:val="auto"/>
        </w:rPr>
      </w:pPr>
    </w:p>
    <w:p>
      <w:pPr>
        <w:ind w:right="140" w:firstLine="494"/>
        <w:spacing w:after="0" w:line="260" w:lineRule="auto"/>
        <w:rPr>
          <w:sz w:val="20"/>
          <w:szCs w:val="20"/>
          <w:color w:val="auto"/>
        </w:rPr>
      </w:pPr>
      <w:r>
        <w:rPr>
          <w:rFonts w:ascii="Times New Roman" w:cs="Times New Roman" w:eastAsia="Times New Roman" w:hAnsi="Times New Roman"/>
          <w:sz w:val="18"/>
          <w:szCs w:val="18"/>
          <w:color w:val="auto"/>
        </w:rPr>
        <w:t>EBITDAC - Adjusted for the three months ended June 30, 2024 increased 23.3%, or $10 million, as compared to the same period in 2023, to $53 million. EBITDAC Margin - Adjusted for the three months ended June 30, 2024 increased to 33.3% from 30.9%, as compared to the same period in 2023. EBITDAC Margin - Adjusted increased due to: (i) certain nonrecurring operating expenses in the prior year; (ii) total revenues growth and (iii) leveraging our expense base.</w:t>
      </w:r>
    </w:p>
    <w:p>
      <w:pPr>
        <w:spacing w:after="0" w:line="74" w:lineRule="exact"/>
        <w:rPr>
          <w:sz w:val="20"/>
          <w:szCs w:val="20"/>
          <w:color w:val="auto"/>
        </w:rPr>
      </w:pPr>
    </w:p>
    <w:p>
      <w:pPr>
        <w:ind w:right="20" w:firstLine="494"/>
        <w:spacing w:after="0" w:line="254" w:lineRule="auto"/>
        <w:rPr>
          <w:sz w:val="20"/>
          <w:szCs w:val="20"/>
          <w:color w:val="auto"/>
        </w:rPr>
      </w:pPr>
      <w:r>
        <w:rPr>
          <w:rFonts w:ascii="Times New Roman" w:cs="Times New Roman" w:eastAsia="Times New Roman" w:hAnsi="Times New Roman"/>
          <w:sz w:val="18"/>
          <w:szCs w:val="18"/>
          <w:color w:val="auto"/>
        </w:rPr>
        <w:t>The Wholesale Brokerage segment’s total revenues for the six months ended June 30, 2024 increased 14.9%, or $39 million, as compared to the same period in 2023, to $301 million. The $34 million net increase in core commissions and fees revenue was driven primarily by: (i) $28 million related to net new and renewal business and (ii) $6 million related to core commissions and fees revenue from acquisitions that had no comparable revenues in the same period of 2023. Profit-sharing contingent commissions for the first six months of 2024 increased approximately $3 million compared to the same period of 2023. The Wholesale Brokerage segment’s growth rate for total commissions and fees was 13.3%, and the Organic Revenue growth rate was</w:t>
      </w:r>
    </w:p>
    <w:p>
      <w:pPr>
        <w:spacing w:after="0" w:line="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11.0% for the first six months of 2024. The Organic Revenue growth rate was driven by strong new business and good retention, as well as a combination of rate and exposure unit increases.</w:t>
      </w:r>
    </w:p>
    <w:p>
      <w:pPr>
        <w:spacing w:after="0" w:line="72" w:lineRule="exact"/>
        <w:rPr>
          <w:sz w:val="20"/>
          <w:szCs w:val="20"/>
          <w:color w:val="auto"/>
        </w:rPr>
      </w:pPr>
    </w:p>
    <w:p>
      <w:pPr>
        <w:jc w:val="both"/>
        <w:ind w:right="300" w:firstLine="494"/>
        <w:spacing w:after="0" w:line="312" w:lineRule="auto"/>
        <w:rPr>
          <w:sz w:val="20"/>
          <w:szCs w:val="20"/>
          <w:color w:val="auto"/>
        </w:rPr>
      </w:pPr>
      <w:r>
        <w:rPr>
          <w:rFonts w:ascii="Times New Roman" w:cs="Times New Roman" w:eastAsia="Times New Roman" w:hAnsi="Times New Roman"/>
          <w:sz w:val="17"/>
          <w:szCs w:val="17"/>
          <w:color w:val="auto"/>
        </w:rPr>
        <w:t>Income before income taxes for the six months ended June 30, 2024 increased 27.5%, or $19 million, as compared to the same period in 2023, to $88 million due to: (i) the growth of EBITDAC - Adjusted described below and (ii) a decrease in the change in estimated acquisition earn-out payables.</w:t>
      </w:r>
    </w:p>
    <w:p>
      <w:pPr>
        <w:spacing w:after="0" w:line="31" w:lineRule="exact"/>
        <w:rPr>
          <w:sz w:val="20"/>
          <w:szCs w:val="20"/>
          <w:color w:val="auto"/>
        </w:rPr>
      </w:pPr>
    </w:p>
    <w:p>
      <w:pPr>
        <w:ind w:right="40" w:firstLine="494"/>
        <w:spacing w:after="0" w:line="265" w:lineRule="auto"/>
        <w:rPr>
          <w:sz w:val="20"/>
          <w:szCs w:val="20"/>
          <w:color w:val="auto"/>
        </w:rPr>
      </w:pPr>
      <w:r>
        <w:rPr>
          <w:rFonts w:ascii="Times New Roman" w:cs="Times New Roman" w:eastAsia="Times New Roman" w:hAnsi="Times New Roman"/>
          <w:sz w:val="18"/>
          <w:szCs w:val="18"/>
          <w:color w:val="auto"/>
        </w:rPr>
        <w:t>EBITDAC - Adjusted for the six months ended June 30, 2024 increased 22.2%, or $18 million, as compared to the same period in 2023, to $99 million. EBITDAC Margin - Adjusted for the six months ended June 30, 2024 increased to 32.9% from 30.9% in the same period in 2023 due to: (i) certain nonrecurring operating expenses in the prior year; (ii) total revenues growth and (iii) leveraging our expense base.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right="160" w:firstLine="494"/>
        <w:spacing w:after="0" w:line="265" w:lineRule="auto"/>
        <w:rPr>
          <w:sz w:val="20"/>
          <w:szCs w:val="20"/>
          <w:color w:val="auto"/>
        </w:rPr>
      </w:pPr>
      <w:r>
        <w:rPr>
          <w:rFonts w:ascii="Times New Roman" w:cs="Times New Roman" w:eastAsia="Times New Roman" w:hAnsi="Times New Roman"/>
          <w:sz w:val="18"/>
          <w:szCs w:val="18"/>
          <w:color w:val="auto"/>
        </w:rPr>
        <w:t>As discussed in Note 12 of the Notes to Condensed Consolidated Financial Statements, the “Other” column in the Segment Information table includes any revenue and expenses not allocated to reportable segments, and corporate-related items, including the intercompany interest expense charges to reporting segments.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80" w:firstLine="494"/>
        <w:spacing w:after="0" w:line="260" w:lineRule="auto"/>
        <w:rPr>
          <w:sz w:val="20"/>
          <w:szCs w:val="20"/>
          <w:color w:val="auto"/>
        </w:rPr>
      </w:pPr>
      <w:r>
        <w:rPr>
          <w:rFonts w:ascii="Times New Roman" w:cs="Times New Roman" w:eastAsia="Times New Roman" w:hAnsi="Times New Roman"/>
          <w:sz w:val="18"/>
          <w:szCs w:val="18"/>
          <w:color w:val="auto"/>
        </w:rPr>
        <w:t>The Company seeks to maintain a conservative balance sheet and strong liquidity profile. Our capital requirements to operate as an insurance intermediary are low and we have been able to grow and invest in our business through a combination of cash that has been generated from operations, the disciplined use of debt and the issuance of equity as part of the purchase price consideration to acquire certain businesses. We have the ability to utilize our Revolving Credit Facility, which as of June 30, 2024 provided up to $800 million in available cash.</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Revolving Credit Facility contains an expansion option for up to an additional $500 million of borrowing capacity, subject to the approval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participating lenders. On March 31, 2022, the Company entered into a Loan Agreement (the “Loan Agreement") which provided term loan capacity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 million. Additionally, the Company may, subject to satisfaction of certain conditions, including receipt of additional term loan commitments by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or existing lenders, increase either Term Loan Commitment under the existing Loan Agreement or the term loans issued thereunder or issue new tranches of</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loans in an aggregate additional amount of up to $400 million. Including the expansion options under all existing credit agreements, the Company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access to up to $1,700 million of incremental borrowing capacity as of June 30, 2024.</w:t>
      </w:r>
    </w:p>
    <w:p>
      <w:pPr>
        <w:spacing w:after="0" w:line="98" w:lineRule="exact"/>
        <w:rPr>
          <w:sz w:val="20"/>
          <w:szCs w:val="20"/>
          <w:color w:val="auto"/>
        </w:rPr>
      </w:pPr>
    </w:p>
    <w:p>
      <w:pPr>
        <w:ind w:right="400" w:firstLine="494"/>
        <w:spacing w:after="0" w:line="281" w:lineRule="auto"/>
        <w:rPr>
          <w:sz w:val="20"/>
          <w:szCs w:val="20"/>
          <w:color w:val="auto"/>
        </w:rPr>
      </w:pPr>
      <w:r>
        <w:rPr>
          <w:rFonts w:ascii="Times New Roman" w:cs="Times New Roman" w:eastAsia="Times New Roman" w:hAnsi="Times New Roman"/>
          <w:sz w:val="18"/>
          <w:szCs w:val="18"/>
          <w:color w:val="auto"/>
        </w:rPr>
        <w:t>We believe that we have access to additional funds, if needed, through the capital markets or private placements to obtain further debt financing under the current market conditions. The Company believes that its existing cash, cash equivalents, short-term investment portfolio</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6" w:right="339" w:bottom="1440" w:gutter="0" w:footer="0" w:header="0"/>
        </w:sectPr>
      </w:pPr>
    </w:p>
    <w:bookmarkStart w:id="38" w:name="page39"/>
    <w:bookmarkEnd w:id="38"/>
    <w:p>
      <w:pPr>
        <w:ind w:right="140"/>
        <w:spacing w:after="0" w:line="281" w:lineRule="auto"/>
        <w:rPr>
          <w:sz w:val="20"/>
          <w:szCs w:val="20"/>
          <w:color w:val="auto"/>
        </w:rPr>
      </w:pPr>
      <w:r>
        <w:rPr>
          <w:rFonts w:ascii="Times New Roman" w:cs="Times New Roman" w:eastAsia="Times New Roman" w:hAnsi="Times New Roman"/>
          <w:sz w:val="18"/>
          <w:szCs w:val="18"/>
          <w:color w:val="auto"/>
        </w:rPr>
        <w:t>and funds generated from operations, together with the funds available under the Revolving Credit Facility, will be sufficient to satisfy its normal liquidity needs, including principal payments on our long-term debt, for at least the next twelve months and in the long term.</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Cash Obligations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June 30, 2024, our contractual cash obligations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3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51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right"/>
              <w:ind w:right="136"/>
              <w:spacing w:after="0" w:line="131" w:lineRule="exact"/>
              <w:rPr>
                <w:sz w:val="20"/>
                <w:szCs w:val="20"/>
                <w:color w:val="auto"/>
              </w:rPr>
            </w:pPr>
            <w:r>
              <w:rPr>
                <w:rFonts w:ascii="Times New Roman" w:cs="Times New Roman" w:eastAsia="Times New Roman" w:hAnsi="Times New Roman"/>
                <w:sz w:val="14"/>
                <w:szCs w:val="14"/>
                <w:b w:val="1"/>
                <w:bCs w:val="1"/>
                <w:color w:val="auto"/>
              </w:rPr>
              <w:t>Less than</w:t>
            </w: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15"/>
              <w:spacing w:after="0" w:line="131" w:lineRule="exact"/>
              <w:rPr>
                <w:sz w:val="20"/>
                <w:szCs w:val="20"/>
                <w:color w:val="auto"/>
              </w:rPr>
            </w:pPr>
            <w:r>
              <w:rPr>
                <w:rFonts w:ascii="Times New Roman" w:cs="Times New Roman" w:eastAsia="Times New Roman" w:hAnsi="Times New Roman"/>
                <w:sz w:val="14"/>
                <w:szCs w:val="14"/>
                <w:b w:val="1"/>
                <w:bCs w:val="1"/>
                <w:color w:val="auto"/>
              </w:rPr>
              <w:t>1-3</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315"/>
              <w:spacing w:after="0" w:line="131" w:lineRule="exact"/>
              <w:rPr>
                <w:sz w:val="20"/>
                <w:szCs w:val="20"/>
                <w:color w:val="auto"/>
              </w:rPr>
            </w:pPr>
            <w:r>
              <w:rPr>
                <w:rFonts w:ascii="Times New Roman" w:cs="Times New Roman" w:eastAsia="Times New Roman" w:hAnsi="Times New Roman"/>
                <w:sz w:val="14"/>
                <w:szCs w:val="14"/>
                <w:b w:val="1"/>
                <w:bCs w:val="1"/>
                <w:color w:val="auto"/>
              </w:rPr>
              <w:t>4-5</w:t>
            </w: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255"/>
              <w:spacing w:after="0" w:line="131" w:lineRule="exact"/>
              <w:rPr>
                <w:sz w:val="20"/>
                <w:szCs w:val="20"/>
                <w:color w:val="auto"/>
              </w:rPr>
            </w:pPr>
            <w:r>
              <w:rPr>
                <w:rFonts w:ascii="Times New Roman" w:cs="Times New Roman" w:eastAsia="Times New Roman" w:hAnsi="Times New Roman"/>
                <w:sz w:val="14"/>
                <w:szCs w:val="14"/>
                <w:b w:val="1"/>
                <w:bCs w:val="1"/>
                <w:color w:val="auto"/>
              </w:rPr>
              <w:t>After</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4,150</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4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4"/>
                <w:szCs w:val="24"/>
                <w:color w:val="auto"/>
                <w:vertAlign w:val="superscript"/>
              </w:rPr>
              <w:t>(1)</w:t>
            </w: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obligations</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tcBorders>
              <w:bottom w:val="single" w:sz="8" w:color="CFF0FC"/>
            </w:tcBorders>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Maximum future acquisition contingent payments </w:t>
            </w:r>
            <w:r>
              <w:rPr>
                <w:rFonts w:ascii="Times New Roman" w:cs="Times New Roman" w:eastAsia="Times New Roman" w:hAnsi="Times New Roman"/>
                <w:sz w:val="24"/>
                <w:szCs w:val="24"/>
                <w:color w:val="auto"/>
                <w:vertAlign w:val="superscript"/>
              </w:rPr>
              <w:t>(2)</w:t>
            </w:r>
          </w:p>
        </w:tc>
        <w:tc>
          <w:tcPr>
            <w:tcW w:w="22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180" w:type="dxa"/>
            <w:vAlign w:val="bottom"/>
          </w:tcPr>
          <w:p>
            <w:pPr>
              <w:ind w:left="200"/>
              <w:spacing w:after="0" w:line="236" w:lineRule="exact"/>
              <w:rPr>
                <w:sz w:val="20"/>
                <w:szCs w:val="20"/>
                <w:color w:val="auto"/>
              </w:rPr>
            </w:pPr>
            <w:r>
              <w:rPr>
                <w:rFonts w:ascii="Times New Roman" w:cs="Times New Roman" w:eastAsia="Times New Roman" w:hAnsi="Times New Roman"/>
                <w:sz w:val="18"/>
                <w:szCs w:val="18"/>
                <w:color w:val="auto"/>
              </w:rPr>
              <w:t xml:space="preserve">Total contractual cash obligations </w:t>
            </w:r>
            <w:r>
              <w:rPr>
                <w:rFonts w:ascii="Times New Roman" w:cs="Times New Roman" w:eastAsia="Times New Roman" w:hAnsi="Times New Roman"/>
                <w:sz w:val="24"/>
                <w:szCs w:val="24"/>
                <w:color w:val="auto"/>
                <w:vertAlign w:val="superscript"/>
              </w:rPr>
              <w:t>(3)</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w:t>
            </w:r>
          </w:p>
        </w:tc>
        <w:tc>
          <w:tcPr>
            <w:tcW w:w="2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-187960</wp:posOffset>
            </wp:positionV>
            <wp:extent cx="7683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4740275</wp:posOffset>
            </wp:positionH>
            <wp:positionV relativeFrom="paragraph">
              <wp:posOffset>-187960</wp:posOffset>
            </wp:positionV>
            <wp:extent cx="768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-187960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-187960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ind w:left="640" w:hanging="377"/>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 million of future lease commitments expected to commence later in 2024.</w:t>
      </w:r>
    </w:p>
    <w:p>
      <w:pPr>
        <w:spacing w:after="0" w:line="62" w:lineRule="exact"/>
        <w:rPr>
          <w:rFonts w:ascii="Times New Roman" w:cs="Times New Roman" w:eastAsia="Times New Roman" w:hAnsi="Times New Roman"/>
          <w:sz w:val="18"/>
          <w:szCs w:val="18"/>
          <w:color w:val="auto"/>
        </w:rPr>
      </w:pPr>
    </w:p>
    <w:p>
      <w:pPr>
        <w:ind w:left="640" w:right="100" w:hanging="377"/>
        <w:spacing w:after="0" w:line="280"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$169 million of current and non-current estimated acquisition earn-out payables. Earn-out payables for acquisitions not denominated in U.S. dollars are measured at the current foreign exchange rate. Six of the estimated acquisition earn-out payables assumed in connection with the acquisitions of GRP (Jersey) Holdco Limited and Kentro Capital Limited included provisions with no maximum potential earn-out amount. The amount recorded for these acquisitions as of June 30, 2024 is $4 million. The Company deems a significant increase to this amount to be unlikely.</w:t>
      </w:r>
    </w:p>
    <w:p>
      <w:pPr>
        <w:spacing w:after="0" w:line="4" w:lineRule="exact"/>
        <w:rPr>
          <w:rFonts w:ascii="Times New Roman" w:cs="Times New Roman" w:eastAsia="Times New Roman" w:hAnsi="Times New Roman"/>
          <w:sz w:val="17"/>
          <w:szCs w:val="17"/>
          <w:color w:val="auto"/>
        </w:rPr>
      </w:pPr>
    </w:p>
    <w:p>
      <w:pPr>
        <w:ind w:left="640" w:right="60" w:hanging="377"/>
        <w:spacing w:after="0" w:line="281" w:lineRule="auto"/>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approximately $37 million of current liability for a dividend of $0.1300 per share approved by the Board of Directors on July 17, 2024.</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w:t>
      </w:r>
    </w:p>
    <w:p>
      <w:pPr>
        <w:spacing w:after="0" w:line="121" w:lineRule="exact"/>
        <w:rPr>
          <w:sz w:val="20"/>
          <w:szCs w:val="20"/>
          <w:color w:val="auto"/>
        </w:rPr>
      </w:pPr>
    </w:p>
    <w:p>
      <w:pPr>
        <w:ind w:right="20" w:firstLine="494"/>
        <w:spacing w:after="0" w:line="260" w:lineRule="auto"/>
        <w:rPr>
          <w:sz w:val="20"/>
          <w:szCs w:val="20"/>
          <w:color w:val="auto"/>
        </w:rPr>
      </w:pPr>
      <w:r>
        <w:rPr>
          <w:rFonts w:ascii="Times New Roman" w:cs="Times New Roman" w:eastAsia="Times New Roman" w:hAnsi="Times New Roman"/>
          <w:sz w:val="18"/>
          <w:szCs w:val="18"/>
          <w:color w:val="auto"/>
        </w:rPr>
        <w:t>Total debt at June 30, 2024 was $4,116 million net of unamortized discount and debt issuance costs, which was an increase of $320 million compared to December 31, 2023. The increase includes: the issuance of $600 million senior notes and the amortization of discounted debt related to our various unsecured senior notes, and debt issuance cost amortization of $2 million; offset by the repayment of $275 million in floating rate debt balances and the addition of deferred financing costs and discount on debt of $7 million.</w:t>
      </w:r>
    </w:p>
    <w:p>
      <w:pPr>
        <w:spacing w:after="0" w:line="74" w:lineRule="exact"/>
        <w:rPr>
          <w:sz w:val="20"/>
          <w:szCs w:val="20"/>
          <w:color w:val="auto"/>
        </w:rPr>
      </w:pPr>
    </w:p>
    <w:p>
      <w:pPr>
        <w:ind w:right="240" w:firstLine="494"/>
        <w:spacing w:after="0" w:line="260" w:lineRule="auto"/>
        <w:rPr>
          <w:sz w:val="20"/>
          <w:szCs w:val="20"/>
          <w:color w:val="auto"/>
        </w:rPr>
      </w:pPr>
      <w:r>
        <w:rPr>
          <w:rFonts w:ascii="Times New Roman" w:cs="Times New Roman" w:eastAsia="Times New Roman" w:hAnsi="Times New Roman"/>
          <w:sz w:val="18"/>
          <w:szCs w:val="18"/>
          <w:color w:val="auto"/>
        </w:rPr>
        <w:t>During the six months ended June 30, 2024, the Company repaid $13 million of principal related to the Second Amended and Restated Credit Agreement term loan through the quarterly scheduled principal payments. The Second Amended and Restated Credit Agreement term loan had an outstanding balance of $206 million as of June 30, 2024. The Company's next scheduled principal payment is due September 30, 2024 and is equal to $6 million.</w:t>
      </w:r>
    </w:p>
    <w:p>
      <w:pPr>
        <w:spacing w:after="0" w:line="74" w:lineRule="exact"/>
        <w:rPr>
          <w:sz w:val="20"/>
          <w:szCs w:val="20"/>
          <w:color w:val="auto"/>
        </w:rPr>
      </w:pPr>
    </w:p>
    <w:p>
      <w:pPr>
        <w:ind w:right="40" w:firstLine="494"/>
        <w:spacing w:after="0" w:line="265" w:lineRule="auto"/>
        <w:rPr>
          <w:sz w:val="20"/>
          <w:szCs w:val="20"/>
          <w:color w:val="auto"/>
        </w:rPr>
      </w:pPr>
      <w:r>
        <w:rPr>
          <w:rFonts w:ascii="Times New Roman" w:cs="Times New Roman" w:eastAsia="Times New Roman" w:hAnsi="Times New Roman"/>
          <w:sz w:val="18"/>
          <w:szCs w:val="18"/>
          <w:color w:val="auto"/>
        </w:rPr>
        <w:t>During the six months ended June 30, 2024, the Company repaid $13 million of principal related to the Term Loans issued under the Term A-2 Loan Commitment (“Term A-2 Loans”) through quarterly scheduled principal payments. The Term A-2 Loans had an outstanding balance of $444 million as of June 30, 2024. The Company’s next scheduled principal payment is due September 30, 2024 and is equal to $13 million.</w:t>
      </w:r>
    </w:p>
    <w:p>
      <w:pPr>
        <w:spacing w:after="0" w:line="69" w:lineRule="exact"/>
        <w:rPr>
          <w:sz w:val="20"/>
          <w:szCs w:val="20"/>
          <w:color w:val="auto"/>
        </w:rPr>
      </w:pPr>
    </w:p>
    <w:p>
      <w:pPr>
        <w:ind w:right="200" w:firstLine="494"/>
        <w:spacing w:after="0" w:line="265" w:lineRule="auto"/>
        <w:rPr>
          <w:sz w:val="20"/>
          <w:szCs w:val="20"/>
          <w:color w:val="auto"/>
        </w:rPr>
      </w:pPr>
      <w:r>
        <w:rPr>
          <w:rFonts w:ascii="Times New Roman" w:cs="Times New Roman" w:eastAsia="Times New Roman" w:hAnsi="Times New Roman"/>
          <w:sz w:val="18"/>
          <w:szCs w:val="18"/>
          <w:color w:val="auto"/>
        </w:rPr>
        <w:t>On February 13, 2024, the Company drew down on the Revolving Credit Facility $150 million, and the proceeds were used for general corporate purposes. During the six months ended June 30, 2024, the Company repaid $250 million of the outstanding balance on the Revolving Credit Facility. The Revolving Credit Facility had no outstanding balance as of June 30, 2024.</w:t>
      </w:r>
    </w:p>
    <w:p>
      <w:pPr>
        <w:spacing w:after="0" w:line="69" w:lineRule="exact"/>
        <w:rPr>
          <w:sz w:val="20"/>
          <w:szCs w:val="20"/>
          <w:color w:val="auto"/>
        </w:rPr>
      </w:pPr>
    </w:p>
    <w:p>
      <w:pPr>
        <w:ind w:firstLine="494"/>
        <w:spacing w:after="0" w:line="270" w:lineRule="auto"/>
        <w:rPr>
          <w:sz w:val="20"/>
          <w:szCs w:val="20"/>
          <w:color w:val="auto"/>
        </w:rPr>
      </w:pPr>
      <w:r>
        <w:rPr>
          <w:rFonts w:ascii="Times New Roman" w:cs="Times New Roman" w:eastAsia="Times New Roman" w:hAnsi="Times New Roman"/>
          <w:sz w:val="17"/>
          <w:szCs w:val="17"/>
          <w:color w:val="auto"/>
        </w:rPr>
        <w:t>On June 11, 2024, the Company completed the issuance of $600 million aggregate principal amount of 5.650% senior notes due 2034 (the “2034 Senior Notes”). The net proceeds to the Company from the issuance of the 2034 Senior Notes, after deducting underwriting discounts and estimated offering expenses, were approximately $593 million. The 2034 Senior Notes were given investment grade ratings of BBB- stable outlook and Baa3 positive outlook. The 2034 Senior Notes will mature in June 2034. Interest on the 2034 Senior Notes will be payable semi-annually in arrears. The 2034 Senior Notes are senior unsecured obligations of the Company and will rank equal in right of payment to all of the Company’s existing and future senior unsecured indebtedness. The Company may redeem the 2034 Senior Notes in whole or in part at any time and from time to time, at the “make whole” redemption prices specified in the prospectus supplement for the 2034 Senior Notes being redeemed, plus accrued and unpaid interest thereon. The Company intends to use the net proceeds from the offering of the 2034 Senior Notes to redeem its 4.200% senior notes due September 2024, and for general corporate purposes. As of June 30, 2024 there was a total outstanding debt balance of $600 million exclusive of the associated discount balance on the 2034 Senior Notes.</w:t>
      </w:r>
    </w:p>
    <w:p>
      <w:pPr>
        <w:spacing w:after="0" w:line="70" w:lineRule="exact"/>
        <w:rPr>
          <w:sz w:val="20"/>
          <w:szCs w:val="20"/>
          <w:color w:val="auto"/>
        </w:rPr>
      </w:pPr>
    </w:p>
    <w:p>
      <w:pPr>
        <w:ind w:right="380" w:firstLine="494"/>
        <w:spacing w:after="0" w:line="281" w:lineRule="auto"/>
        <w:rPr>
          <w:sz w:val="20"/>
          <w:szCs w:val="20"/>
          <w:color w:val="auto"/>
        </w:rPr>
      </w:pPr>
      <w:r>
        <w:rPr>
          <w:rFonts w:ascii="Times New Roman" w:cs="Times New Roman" w:eastAsia="Times New Roman" w:hAnsi="Times New Roman"/>
          <w:sz w:val="18"/>
          <w:szCs w:val="18"/>
          <w:color w:val="auto"/>
        </w:rPr>
        <w:t>During the six months ended June 30, 2024, the Company repaid $150 million of principal related to the Term Loans issued under the Term A-1 Loan Commitment (“Term A-1 Loans”). The Term A-1 Loans had an outstanding balance of $150 million as of June 30, 2024.</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320" w:firstLine="494"/>
        <w:spacing w:after="0" w:line="281" w:lineRule="auto"/>
        <w:rPr>
          <w:sz w:val="20"/>
          <w:szCs w:val="20"/>
          <w:color w:val="auto"/>
        </w:rPr>
      </w:pPr>
      <w:r>
        <w:rPr>
          <w:rFonts w:ascii="Times New Roman" w:cs="Times New Roman" w:eastAsia="Times New Roman" w:hAnsi="Times New Roman"/>
          <w:sz w:val="18"/>
          <w:szCs w:val="18"/>
          <w:color w:val="auto"/>
        </w:rPr>
        <w:t>Market risk is the potential loss arising from adverse changes in market rates and prices, such as interest rates, foreign exchange rates and equity prices. We are exposed to market risk through our investments, revolving credit line, term loan agreements and international operations.</w:t>
      </w:r>
    </w:p>
    <w:p>
      <w:pPr>
        <w:spacing w:after="0" w:line="55" w:lineRule="exact"/>
        <w:rPr>
          <w:sz w:val="20"/>
          <w:szCs w:val="20"/>
          <w:color w:val="auto"/>
        </w:rPr>
      </w:pPr>
    </w:p>
    <w:p>
      <w:pPr>
        <w:ind w:firstLine="494"/>
        <w:spacing w:after="0" w:line="260" w:lineRule="auto"/>
        <w:rPr>
          <w:sz w:val="20"/>
          <w:szCs w:val="20"/>
          <w:color w:val="auto"/>
        </w:rPr>
      </w:pPr>
      <w:r>
        <w:rPr>
          <w:rFonts w:ascii="Times New Roman" w:cs="Times New Roman" w:eastAsia="Times New Roman" w:hAnsi="Times New Roman"/>
          <w:sz w:val="18"/>
          <w:szCs w:val="18"/>
          <w:color w:val="auto"/>
        </w:rPr>
        <w:t>Our invested assets are held primarily as cash and cash equivalents, restricted cash, available-for-sale marketable debt securities, non-marketable debt securities, certificates of deposit, U.S. Treasury securities, and professionally managed short-term duration fixed income funds. These investments are subject to interest rate risk. The fair value of our invested assets at June 30, 2024 and December 31, 2023 approximated their respective carrying values due to their short-term duration and therefore, such market risk is not considered to be material.</w:t>
      </w:r>
    </w:p>
    <w:p>
      <w:pPr>
        <w:spacing w:after="0" w:line="74" w:lineRule="exact"/>
        <w:rPr>
          <w:sz w:val="20"/>
          <w:szCs w:val="20"/>
          <w:color w:val="auto"/>
        </w:rPr>
      </w:pPr>
    </w:p>
    <w:p>
      <w:pPr>
        <w:ind w:right="160" w:firstLine="494"/>
        <w:spacing w:after="0" w:line="281" w:lineRule="auto"/>
        <w:rPr>
          <w:sz w:val="20"/>
          <w:szCs w:val="20"/>
          <w:color w:val="auto"/>
        </w:rPr>
      </w:pPr>
      <w:r>
        <w:rPr>
          <w:rFonts w:ascii="Times New Roman" w:cs="Times New Roman" w:eastAsia="Times New Roman" w:hAnsi="Times New Roman"/>
          <w:sz w:val="18"/>
          <w:szCs w:val="18"/>
          <w:color w:val="auto"/>
        </w:rPr>
        <w:t>We do not actively invest or trade in equity securities. In addition, we generally dispose of any significant equity securities received in conjunction with an acquisition shortly after the acquisition date.</w:t>
      </w:r>
    </w:p>
    <w:p>
      <w:pPr>
        <w:spacing w:after="0" w:line="55" w:lineRule="exact"/>
        <w:rPr>
          <w:sz w:val="20"/>
          <w:szCs w:val="20"/>
          <w:color w:val="auto"/>
        </w:rPr>
      </w:pPr>
    </w:p>
    <w:p>
      <w:pPr>
        <w:ind w:right="140" w:firstLine="494"/>
        <w:spacing w:after="0" w:line="260" w:lineRule="auto"/>
        <w:rPr>
          <w:sz w:val="20"/>
          <w:szCs w:val="20"/>
          <w:color w:val="auto"/>
        </w:rPr>
      </w:pPr>
      <w:r>
        <w:rPr>
          <w:rFonts w:ascii="Times New Roman" w:cs="Times New Roman" w:eastAsia="Times New Roman" w:hAnsi="Times New Roman"/>
          <w:sz w:val="18"/>
          <w:szCs w:val="18"/>
          <w:color w:val="auto"/>
        </w:rPr>
        <w:t>As of June 30, 2024, we had $800 million outstanding under the Second Amended and Restated Credit Agreement and the Loan Agreement tied to the Secured Overnight Financing Rate (“SOFR”). These agreements bear interest on a floating basis and are therefore subject to changes in the associated interest expense. The effect of an immediate hypothetical 10% change in interest rates would not have a material effect on our Condensed Consolidated Financial Statements.</w:t>
      </w:r>
    </w:p>
    <w:p>
      <w:pPr>
        <w:spacing w:after="0" w:line="74" w:lineRule="exact"/>
        <w:rPr>
          <w:sz w:val="20"/>
          <w:szCs w:val="20"/>
          <w:color w:val="auto"/>
        </w:rPr>
      </w:pPr>
    </w:p>
    <w:p>
      <w:pPr>
        <w:ind w:right="40" w:firstLine="494"/>
        <w:spacing w:after="0" w:line="258" w:lineRule="auto"/>
        <w:rPr>
          <w:sz w:val="20"/>
          <w:szCs w:val="20"/>
          <w:color w:val="auto"/>
        </w:rPr>
      </w:pPr>
      <w:r>
        <w:rPr>
          <w:rFonts w:ascii="Times New Roman" w:cs="Times New Roman" w:eastAsia="Times New Roman" w:hAnsi="Times New Roman"/>
          <w:sz w:val="18"/>
          <w:szCs w:val="18"/>
          <w:color w:val="auto"/>
        </w:rPr>
        <w:t>The majority of our international operations do not have material transactions in currencies other than their functional currency which would expose the Company to transactional currency rate risk. We are subject to translational exchange rate risk having businesses operating outside of the U.S. in the following functional currencies, British pounds, Canadian dollar, and euros. Based upon our foreign currency rate exposure as of June 30, 2024, an immediate 10% hypothetical change of foreign currency exchange rates would not have a material effect on our Condensed Consolidated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499"/>
        <w:spacing w:after="0" w:line="255" w:lineRule="auto"/>
        <w:rPr>
          <w:sz w:val="20"/>
          <w:szCs w:val="20"/>
          <w:color w:val="auto"/>
        </w:rPr>
      </w:pPr>
      <w:r>
        <w:rPr>
          <w:rFonts w:ascii="Times New Roman" w:cs="Times New Roman" w:eastAsia="Times New Roman" w:hAnsi="Times New Roman"/>
          <w:sz w:val="18"/>
          <w:szCs w:val="18"/>
          <w:color w:val="auto"/>
        </w:rPr>
        <w:t>We carried out an evaluation (the “Evaluation”) required by Rules 13a-15 and 15d-15 under the Securities Exchange Act of 1934, as amended (the “Exchange Act”), under the supervision and with the participation of our Chief Executive Officer (“CEO”) and Chief Financial Officer (“CFO”), of the effectiveness of our disclosure controls and procedures as defined in Rule 13a-15 and 15d-15 under the Exchange Act (“Disclosure Controls”) as of June 30, 2024. Based upon the Evaluation, our CEO and CFO concluded that the design and operation of our Disclosure Controls were effective to ensure that information required to be disclosed by us in reports that we file or submit under the Exchange Act is (i) recorded, processed, summarized and reported within the time periods specified in SEC rules and forms and (ii) accumulated and communicated to our senior management, including our CEO and CFO, to allow timely decisions regarding required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121" w:lineRule="exact"/>
        <w:rPr>
          <w:sz w:val="20"/>
          <w:szCs w:val="20"/>
          <w:color w:val="auto"/>
        </w:rPr>
      </w:pPr>
    </w:p>
    <w:p>
      <w:pPr>
        <w:ind w:right="140" w:firstLine="499"/>
        <w:spacing w:after="0" w:line="281" w:lineRule="auto"/>
        <w:rPr>
          <w:sz w:val="20"/>
          <w:szCs w:val="20"/>
          <w:color w:val="auto"/>
        </w:rPr>
      </w:pPr>
      <w:r>
        <w:rPr>
          <w:rFonts w:ascii="Times New Roman" w:cs="Times New Roman" w:eastAsia="Times New Roman" w:hAnsi="Times New Roman"/>
          <w:sz w:val="18"/>
          <w:szCs w:val="18"/>
          <w:color w:val="auto"/>
        </w:rPr>
        <w:t>There has not been any change in our internal control over financial reporting identified in connection with the Evaluation that occurred during the quarter ended June 30, 2024, that has materially affected, or is reasonably likely to materially affect, our internal control over financial reporting.</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of Internal Control Over Financial Reporting</w:t>
      </w:r>
    </w:p>
    <w:p>
      <w:pPr>
        <w:spacing w:after="0" w:line="121" w:lineRule="exact"/>
        <w:rPr>
          <w:sz w:val="20"/>
          <w:szCs w:val="20"/>
          <w:color w:val="auto"/>
        </w:rPr>
      </w:pPr>
    </w:p>
    <w:p>
      <w:pPr>
        <w:ind w:firstLine="499"/>
        <w:spacing w:after="0" w:line="255" w:lineRule="auto"/>
        <w:rPr>
          <w:sz w:val="20"/>
          <w:szCs w:val="20"/>
          <w:color w:val="auto"/>
        </w:rPr>
      </w:pPr>
      <w:r>
        <w:rPr>
          <w:rFonts w:ascii="Times New Roman" w:cs="Times New Roman" w:eastAsia="Times New Roman" w:hAnsi="Times New Roman"/>
          <w:sz w:val="18"/>
          <w:szCs w:val="18"/>
          <w:color w:val="auto"/>
        </w:rPr>
        <w:t>Our management, including our CEO and CFO, does not expect that our Disclosure Controls and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w:t>
      </w:r>
    </w:p>
    <w:p>
      <w:pPr>
        <w:spacing w:after="0" w:line="79" w:lineRule="exact"/>
        <w:rPr>
          <w:sz w:val="20"/>
          <w:szCs w:val="20"/>
          <w:color w:val="auto"/>
        </w:rPr>
      </w:pPr>
    </w:p>
    <w:p>
      <w:pPr>
        <w:ind w:firstLine="499"/>
        <w:spacing w:after="0" w:line="260" w:lineRule="auto"/>
        <w:rPr>
          <w:sz w:val="20"/>
          <w:szCs w:val="20"/>
          <w:color w:val="auto"/>
        </w:rPr>
      </w:pPr>
      <w:r>
        <w:rPr>
          <w:rFonts w:ascii="Times New Roman" w:cs="Times New Roman" w:eastAsia="Times New Roman" w:hAnsi="Times New Roman"/>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and CFO Certifications</w:t>
      </w:r>
    </w:p>
    <w:p>
      <w:pPr>
        <w:spacing w:after="0" w:line="121" w:lineRule="exact"/>
        <w:rPr>
          <w:sz w:val="20"/>
          <w:szCs w:val="20"/>
          <w:color w:val="auto"/>
        </w:rPr>
      </w:pPr>
    </w:p>
    <w:p>
      <w:pPr>
        <w:ind w:right="20" w:firstLine="499"/>
        <w:spacing w:after="0" w:line="260" w:lineRule="auto"/>
        <w:rPr>
          <w:sz w:val="20"/>
          <w:szCs w:val="20"/>
          <w:color w:val="auto"/>
        </w:rPr>
      </w:pPr>
      <w:r>
        <w:rPr>
          <w:rFonts w:ascii="Times New Roman" w:cs="Times New Roman" w:eastAsia="Times New Roman" w:hAnsi="Times New Roman"/>
          <w:sz w:val="18"/>
          <w:szCs w:val="18"/>
          <w:color w:val="auto"/>
        </w:rPr>
        <w:t>Exhibits 31.1 and 31.2 are the Certifications of the CEO and the CFO, respectively. The Certifications are supplied in accordance with Section 302 of the Sarbanes-Oxley Act of 2002 (the “Section 302 Certifications”). This Item 4 of Part I of this Quarterly Report on Form 10-Q contains the information concerning the evaluation referred to in the Section 302 Certifications and this information should be read in conjunction with the Section 302 Certifications for a more complete understanding of the topics presented.</w:t>
      </w: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6" w:right="3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20" w:firstLine="499"/>
        <w:spacing w:after="0" w:line="260" w:lineRule="auto"/>
        <w:rPr>
          <w:sz w:val="20"/>
          <w:szCs w:val="20"/>
          <w:color w:val="auto"/>
        </w:rPr>
      </w:pPr>
      <w:r>
        <w:rPr>
          <w:rFonts w:ascii="Times New Roman" w:cs="Times New Roman" w:eastAsia="Times New Roman" w:hAnsi="Times New Roman"/>
          <w:sz w:val="18"/>
          <w:szCs w:val="18"/>
          <w:color w:val="auto"/>
        </w:rPr>
        <w:t>In Item 3 of Part I of the Company’s Annual Report on Form 10-K for its fiscal year ended December 31, 2023, certain information concerning litigation claims arising in the ordinary course of business was disclosed. Such information was current as of the date of filing. During the Company’s fiscal quarter ended June 30, 2024, no new legal proceedings, or material developments with respect to existing legal proceedings, occurred which require disclosure in this Quarterly Report on Form 10-Q.</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40" w:firstLine="499"/>
        <w:spacing w:after="0" w:line="281" w:lineRule="auto"/>
        <w:rPr>
          <w:sz w:val="20"/>
          <w:szCs w:val="20"/>
          <w:color w:val="auto"/>
        </w:rPr>
      </w:pPr>
      <w:r>
        <w:rPr>
          <w:rFonts w:ascii="Times New Roman" w:cs="Times New Roman" w:eastAsia="Times New Roman" w:hAnsi="Times New Roman"/>
          <w:sz w:val="18"/>
          <w:szCs w:val="18"/>
          <w:color w:val="auto"/>
        </w:rPr>
        <w:t>There were no material changes in the risk factors previously disclosed in Item 1A, “Risk Factors” of the Company’s Annual Report on Form 10-K for the year ended December 31,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information about our repurchase of shares of our common stock during the three months ended June 30, 2024:</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Maximum value of</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500" w:type="dxa"/>
            <w:vAlign w:val="bottom"/>
            <w:gridSpan w:val="2"/>
            <w:vMerge w:val="restart"/>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488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00" w:type="dxa"/>
            <w:vAlign w:val="bottom"/>
          </w:tcPr>
          <w:p>
            <w:pPr>
              <w:spacing w:after="0"/>
              <w:rPr>
                <w:sz w:val="12"/>
                <w:szCs w:val="12"/>
                <w:color w:val="auto"/>
              </w:rPr>
            </w:pPr>
          </w:p>
        </w:tc>
        <w:tc>
          <w:tcPr>
            <w:tcW w:w="132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6"/>
        </w:trPr>
        <w:tc>
          <w:tcPr>
            <w:tcW w:w="4880" w:type="dxa"/>
            <w:vAlign w:val="bottom"/>
          </w:tcPr>
          <w:p>
            <w:pPr>
              <w:spacing w:after="0"/>
              <w:rPr>
                <w:sz w:val="12"/>
                <w:szCs w:val="12"/>
                <w:color w:val="auto"/>
              </w:rPr>
            </w:pPr>
          </w:p>
        </w:tc>
        <w:tc>
          <w:tcPr>
            <w:tcW w:w="960" w:type="dxa"/>
            <w:vAlign w:val="bottom"/>
          </w:tcPr>
          <w:p>
            <w:pPr>
              <w:jc w:val="center"/>
              <w:ind w:left="348"/>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ind w:left="128"/>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89"/>
        </w:trPr>
        <w:tc>
          <w:tcPr>
            <w:tcW w:w="4880" w:type="dxa"/>
            <w:vAlign w:val="bottom"/>
          </w:tcPr>
          <w:p>
            <w:pPr>
              <w:spacing w:after="0"/>
              <w:rPr>
                <w:sz w:val="16"/>
                <w:szCs w:val="16"/>
                <w:color w:val="auto"/>
              </w:rPr>
            </w:pPr>
          </w:p>
        </w:tc>
        <w:tc>
          <w:tcPr>
            <w:tcW w:w="9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540" w:type="dxa"/>
            <w:vAlign w:val="bottom"/>
            <w:tcBorders>
              <w:bottom w:val="single" w:sz="8" w:color="auto"/>
            </w:tcBorders>
          </w:tcPr>
          <w:p>
            <w:pPr>
              <w:jc w:val="right"/>
              <w:ind w:right="338"/>
              <w:spacing w:after="0"/>
              <w:rPr>
                <w:sz w:val="20"/>
                <w:szCs w:val="20"/>
                <w:color w:val="auto"/>
              </w:rPr>
            </w:pPr>
            <w:r>
              <w:rPr>
                <w:rFonts w:ascii="Times New Roman" w:cs="Times New Roman" w:eastAsia="Times New Roman" w:hAnsi="Times New Roman"/>
                <w:sz w:val="10"/>
                <w:szCs w:val="10"/>
                <w:b w:val="1"/>
                <w:bCs w:val="1"/>
                <w:color w:val="auto"/>
                <w:w w:val="85"/>
              </w:rPr>
              <w:t>(1)</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3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40"/>
              <w:spacing w:after="0" w:line="189" w:lineRule="exact"/>
              <w:rPr>
                <w:sz w:val="20"/>
                <w:szCs w:val="20"/>
                <w:color w:val="auto"/>
              </w:rPr>
            </w:pPr>
            <w:r>
              <w:rPr>
                <w:rFonts w:ascii="Times New Roman" w:cs="Times New Roman" w:eastAsia="Times New Roman" w:hAnsi="Times New Roman"/>
                <w:sz w:val="14"/>
                <w:szCs w:val="14"/>
                <w:b w:val="1"/>
                <w:bCs w:val="1"/>
                <w:color w:val="auto"/>
                <w:w w:val="96"/>
              </w:rPr>
              <w:t xml:space="preserve">or programs </w:t>
            </w:r>
            <w:r>
              <w:rPr>
                <w:rFonts w:ascii="Times New Roman" w:cs="Times New Roman" w:eastAsia="Times New Roman" w:hAnsi="Times New Roman"/>
                <w:sz w:val="19"/>
                <w:szCs w:val="19"/>
                <w:b w:val="1"/>
                <w:bCs w:val="1"/>
                <w:color w:val="auto"/>
                <w:w w:val="96"/>
                <w:vertAlign w:val="superscript"/>
              </w:rPr>
              <w:t>(2)(3)</w:t>
            </w:r>
          </w:p>
        </w:tc>
        <w:tc>
          <w:tcPr>
            <w:tcW w:w="0" w:type="dxa"/>
            <w:vAlign w:val="bottom"/>
          </w:tcPr>
          <w:p>
            <w:pPr>
              <w:spacing w:after="0"/>
              <w:rPr>
                <w:sz w:val="1"/>
                <w:szCs w:val="1"/>
                <w:color w:val="auto"/>
              </w:rPr>
            </w:pPr>
          </w:p>
        </w:tc>
      </w:tr>
      <w:tr>
        <w:trPr>
          <w:trHeight w:val="236"/>
        </w:trPr>
        <w:tc>
          <w:tcPr>
            <w:tcW w:w="58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April 1, 2024 to April 30, 2024</w:t>
            </w:r>
          </w:p>
        </w:tc>
        <w:tc>
          <w:tcPr>
            <w:tcW w:w="54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w w:val="98"/>
              </w:rPr>
              <w:t>2,189</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81.50</w:t>
            </w:r>
          </w:p>
        </w:tc>
        <w:tc>
          <w:tcPr>
            <w:tcW w:w="10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8"/>
        </w:trPr>
        <w:tc>
          <w:tcPr>
            <w:tcW w:w="5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2024 to May 31, 2024</w:t>
            </w:r>
          </w:p>
        </w:tc>
        <w:tc>
          <w:tcPr>
            <w:tcW w:w="5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83.50</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43"/>
        </w:trPr>
        <w:tc>
          <w:tcPr>
            <w:tcW w:w="4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June 1, 2024 to June 30, 2024</w:t>
            </w:r>
          </w:p>
        </w:tc>
        <w:tc>
          <w:tcPr>
            <w:tcW w:w="96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30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32"/>
        </w:trPr>
        <w:tc>
          <w:tcPr>
            <w:tcW w:w="58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w w:val="98"/>
              </w:rPr>
              <w:t>2,395</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81.67</w:t>
            </w: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4055110</wp:posOffset>
            </wp:positionH>
            <wp:positionV relativeFrom="paragraph">
              <wp:posOffset>-156845</wp:posOffset>
            </wp:positionV>
            <wp:extent cx="939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-156845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-156845</wp:posOffset>
            </wp:positionV>
            <wp:extent cx="8572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13" w:lineRule="exact"/>
        <w:rPr>
          <w:sz w:val="20"/>
          <w:szCs w:val="20"/>
          <w:color w:val="auto"/>
        </w:rPr>
      </w:pPr>
    </w:p>
    <w:p>
      <w:pPr>
        <w:ind w:left="640" w:right="280" w:hanging="377"/>
        <w:spacing w:after="0" w:line="260"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reported in this column are attributable to shares withheld for taxes in connection with vesting of restricted shares awarded under our 2010 Stock Incentive Plan and 2019 Stock Incentive Plan.</w:t>
      </w:r>
    </w:p>
    <w:p>
      <w:pPr>
        <w:spacing w:after="0" w:line="1" w:lineRule="exact"/>
        <w:rPr>
          <w:rFonts w:ascii="Times New Roman" w:cs="Times New Roman" w:eastAsia="Times New Roman" w:hAnsi="Times New Roman"/>
          <w:sz w:val="18"/>
          <w:szCs w:val="18"/>
          <w:color w:val="auto"/>
        </w:rPr>
      </w:pPr>
    </w:p>
    <w:p>
      <w:pPr>
        <w:ind w:left="640" w:right="60" w:hanging="377"/>
        <w:spacing w:after="0" w:line="250" w:lineRule="auto"/>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18, 2014, the Board of Directors authorized the repurchase of up to $200.0 million of the Company's shares of common stock, and on July 20, 2015, the Board of Directors authorized the repurchase of an additional $400.0 million of the Company's shares of common stock. On May 1, 2019, the Board of Directors approved an additional repurchase authorization amount of $372.5 million to bring the total available share repurchase authorization to approximately $500.0 million. After completing these open market repurchases, the Company’s outstanding Board approved share repurchase authorization is approximately $249.5 million. Between January 1, 2014 and June 30, 2024, the Company repurchased a total of approximately 20 million shares for an aggregate cost of approximately $748 million.</w:t>
      </w:r>
    </w:p>
    <w:p>
      <w:pPr>
        <w:ind w:left="640" w:hanging="377"/>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values stated in millions.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During the second quarter of 2024, none of the Company’s officers or directors adopted or terminated any “Rule 10b5-1 trading arrangement” or any “non-Rule 10b5-1 trading arrangement,” as each term is defined in Item 408 of Regulation S-K.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0760" w:type="dxa"/>
            <w:vAlign w:val="bottom"/>
            <w:gridSpan w:val="12"/>
          </w:tcPr>
          <w:p>
            <w:pPr>
              <w:ind w:left="40"/>
              <w:spacing w:after="0"/>
              <w:rPr>
                <w:sz w:val="20"/>
                <w:szCs w:val="20"/>
                <w:color w:val="auto"/>
              </w:rPr>
            </w:pPr>
            <w:r>
              <w:rPr>
                <w:rFonts w:ascii="Times New Roman" w:cs="Times New Roman" w:eastAsia="Times New Roman" w:hAnsi="Times New Roman"/>
                <w:sz w:val="18"/>
                <w:szCs w:val="18"/>
                <w:color w:val="auto"/>
              </w:rPr>
              <w:t>The following exhibits are filed as a part of this Report:</w:t>
            </w:r>
          </w:p>
        </w:tc>
      </w:tr>
      <w:tr>
        <w:trPr>
          <w:trHeight w:val="43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24"/>
                <w:szCs w:val="24"/>
                <w:color w:val="auto"/>
              </w:rPr>
            </w:pPr>
          </w:p>
        </w:tc>
        <w:tc>
          <w:tcPr>
            <w:tcW w:w="10120" w:type="dxa"/>
            <w:vAlign w:val="bottom"/>
            <w:gridSpan w:val="11"/>
          </w:tcPr>
          <w:p>
            <w:pPr>
              <w:spacing w:after="0"/>
              <w:rPr>
                <w:rFonts w:ascii="Times New Roman" w:cs="Times New Roman" w:eastAsia="Times New Roman" w:hAnsi="Times New Roman"/>
                <w:sz w:val="18"/>
                <w:szCs w:val="18"/>
                <w:color w:val="0000FF"/>
                <w:w w:val="99"/>
              </w:rPr>
            </w:pPr>
            <w:hyperlink r:id="rId367">
              <w:r>
                <w:rPr>
                  <w:rFonts w:ascii="Times New Roman" w:cs="Times New Roman" w:eastAsia="Times New Roman" w:hAnsi="Times New Roman"/>
                  <w:sz w:val="18"/>
                  <w:szCs w:val="18"/>
                  <w:color w:val="0000FF"/>
                  <w:w w:val="99"/>
                </w:rPr>
                <w:t>Underwriting Agreement, dated as of June 4, 2024 among Brown &amp; Brown, Inc. and BofA Securities, Inc., BMO Capital Markets Corp., J.P.</w:t>
              </w:r>
            </w:hyperlink>
          </w:p>
        </w:tc>
      </w:tr>
      <w:tr>
        <w:trPr>
          <w:trHeight w:val="20"/>
        </w:trPr>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20" w:type="dxa"/>
            <w:vAlign w:val="bottom"/>
            <w:gridSpan w:val="11"/>
          </w:tcPr>
          <w:p>
            <w:pPr>
              <w:spacing w:after="0" w:line="195"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Morgan Securities LLC and Truist Securities, Inc., as representatives of the several underwriters named therein. (incorporated by reference</w:t>
              </w:r>
            </w:hyperlink>
          </w:p>
        </w:tc>
      </w:tr>
      <w:tr>
        <w:trPr>
          <w:trHeight w:val="20"/>
        </w:trPr>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20" w:type="dxa"/>
            <w:vAlign w:val="bottom"/>
            <w:gridSpan w:val="11"/>
          </w:tcPr>
          <w:p>
            <w:pPr>
              <w:spacing w:after="0" w:line="195" w:lineRule="exact"/>
              <w:rPr>
                <w:rFonts w:ascii="Times New Roman" w:cs="Times New Roman" w:eastAsia="Times New Roman" w:hAnsi="Times New Roman"/>
                <w:sz w:val="18"/>
                <w:szCs w:val="18"/>
                <w:color w:val="0000FF"/>
              </w:rPr>
            </w:pPr>
            <w:hyperlink r:id="rId367">
              <w:r>
                <w:rPr>
                  <w:rFonts w:ascii="Times New Roman" w:cs="Times New Roman" w:eastAsia="Times New Roman" w:hAnsi="Times New Roman"/>
                  <w:sz w:val="18"/>
                  <w:szCs w:val="18"/>
                  <w:color w:val="0000FF"/>
                </w:rPr>
                <w:t>to Exhibit 1.1 to Form 8-K filed on June 4, 2024).</w:t>
              </w:r>
            </w:hyperlink>
          </w:p>
        </w:tc>
      </w:tr>
      <w:tr>
        <w:trPr>
          <w:trHeight w:val="20"/>
        </w:trPr>
        <w:tc>
          <w:tcPr>
            <w:tcW w:w="3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7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40" w:type="dxa"/>
            <w:vAlign w:val="bottom"/>
          </w:tcPr>
          <w:p>
            <w:pPr>
              <w:spacing w:after="0"/>
              <w:rPr>
                <w:sz w:val="24"/>
                <w:szCs w:val="24"/>
                <w:color w:val="auto"/>
              </w:rPr>
            </w:pPr>
          </w:p>
        </w:tc>
        <w:tc>
          <w:tcPr>
            <w:tcW w:w="10120" w:type="dxa"/>
            <w:vAlign w:val="bottom"/>
            <w:gridSpan w:val="11"/>
          </w:tcPr>
          <w:p>
            <w:pPr>
              <w:spacing w:after="0"/>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Amended and Restated Articles of Incorporation of the Company (adopted January 18, 2023) (incorporated by reference to Exhibit 3.1 to</w:t>
              </w:r>
            </w:hyperlink>
          </w:p>
        </w:tc>
      </w:tr>
      <w:tr>
        <w:trPr>
          <w:trHeight w:val="20"/>
        </w:trPr>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1780" w:type="dxa"/>
            <w:vAlign w:val="bottom"/>
            <w:tcBorders>
              <w:right w:val="single" w:sz="8" w:color="0000FF"/>
            </w:tcBorders>
            <w:gridSpan w:val="2"/>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20" w:type="dxa"/>
            <w:vAlign w:val="bottom"/>
            <w:gridSpan w:val="11"/>
          </w:tcPr>
          <w:p>
            <w:pPr>
              <w:spacing w:after="0" w:line="195" w:lineRule="exact"/>
              <w:rPr>
                <w:rFonts w:ascii="Times New Roman" w:cs="Times New Roman" w:eastAsia="Times New Roman" w:hAnsi="Times New Roman"/>
                <w:sz w:val="18"/>
                <w:szCs w:val="18"/>
                <w:color w:val="0000FF"/>
              </w:rPr>
            </w:pPr>
            <w:hyperlink r:id="rId368">
              <w:r>
                <w:rPr>
                  <w:rFonts w:ascii="Times New Roman" w:cs="Times New Roman" w:eastAsia="Times New Roman" w:hAnsi="Times New Roman"/>
                  <w:sz w:val="18"/>
                  <w:szCs w:val="18"/>
                  <w:color w:val="0000FF"/>
                </w:rPr>
                <w:t>Form 8-K filed on January 19, 2023).</w:t>
              </w:r>
            </w:hyperlink>
          </w:p>
        </w:tc>
      </w:tr>
      <w:tr>
        <w:trPr>
          <w:trHeight w:val="20"/>
        </w:trPr>
        <w:tc>
          <w:tcPr>
            <w:tcW w:w="3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EE"/>
            </w:tcBorders>
            <w:shd w:val="clear" w:color="auto" w:fill="0000FF"/>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7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40" w:type="dxa"/>
            <w:vAlign w:val="bottom"/>
          </w:tcPr>
          <w:p>
            <w:pPr>
              <w:spacing w:after="0"/>
              <w:rPr>
                <w:sz w:val="24"/>
                <w:szCs w:val="24"/>
                <w:color w:val="auto"/>
              </w:rPr>
            </w:pPr>
          </w:p>
        </w:tc>
        <w:tc>
          <w:tcPr>
            <w:tcW w:w="10120" w:type="dxa"/>
            <w:vAlign w:val="bottom"/>
            <w:gridSpan w:val="11"/>
          </w:tcPr>
          <w:p>
            <w:pPr>
              <w:spacing w:after="0"/>
              <w:rPr>
                <w:rFonts w:ascii="Times New Roman" w:cs="Times New Roman" w:eastAsia="Times New Roman" w:hAnsi="Times New Roman"/>
                <w:sz w:val="18"/>
                <w:szCs w:val="18"/>
                <w:color w:val="0000FF"/>
              </w:rPr>
            </w:pPr>
            <w:hyperlink r:id="rId369">
              <w:r>
                <w:rPr>
                  <w:rFonts w:ascii="Times New Roman" w:cs="Times New Roman" w:eastAsia="Times New Roman" w:hAnsi="Times New Roman"/>
                  <w:sz w:val="18"/>
                  <w:szCs w:val="18"/>
                  <w:color w:val="0000FF"/>
                </w:rPr>
                <w:t>Amended and Restated By-Laws (incorporated by reference to Exhibit 3.2 to Form 8-K filed on January 19, 2023).</w:t>
              </w:r>
            </w:hyperlink>
          </w:p>
        </w:tc>
      </w:tr>
      <w:tr>
        <w:trPr>
          <w:trHeight w:val="20"/>
        </w:trPr>
        <w:tc>
          <w:tcPr>
            <w:tcW w:w="3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448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7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Fifth Supplemental Indenture, dated as of June 11, 2024, between Brown &amp; Brown, Inc. and U.S. Bank Trust Company, National</w:t>
            </w:r>
          </w:p>
        </w:tc>
      </w:tr>
      <w:tr>
        <w:trPr>
          <w:trHeight w:val="20"/>
        </w:trPr>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80" w:type="dxa"/>
            <w:vAlign w:val="bottom"/>
            <w:tcBorders>
              <w:right w:val="single" w:sz="8" w:color="0000FF"/>
            </w:tcBorders>
            <w:gridSpan w:val="3"/>
            <w:shd w:val="clear" w:color="auto" w:fill="0000FF"/>
          </w:tcPr>
          <w:p>
            <w:pPr>
              <w:spacing w:after="0" w:line="20" w:lineRule="exact"/>
              <w:rPr>
                <w:sz w:val="1"/>
                <w:szCs w:val="1"/>
                <w:color w:val="auto"/>
              </w:rPr>
            </w:pPr>
          </w:p>
        </w:tc>
        <w:tc>
          <w:tcPr>
            <w:tcW w:w="9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304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120" w:type="dxa"/>
            <w:vAlign w:val="bottom"/>
            <w:gridSpan w:val="11"/>
          </w:tcPr>
          <w:p>
            <w:pPr>
              <w:spacing w:after="0" w:line="195" w:lineRule="exact"/>
              <w:rPr>
                <w:sz w:val="20"/>
                <w:szCs w:val="20"/>
                <w:color w:val="auto"/>
              </w:rPr>
            </w:pPr>
            <w:r>
              <w:rPr>
                <w:rFonts w:ascii="Times New Roman" w:cs="Times New Roman" w:eastAsia="Times New Roman" w:hAnsi="Times New Roman"/>
                <w:sz w:val="18"/>
                <w:szCs w:val="18"/>
                <w:color w:val="0000FF"/>
              </w:rPr>
              <w:t>Association (as successor to U.S. Bank National Association).</w:t>
            </w:r>
          </w:p>
        </w:tc>
      </w:tr>
      <w:tr>
        <w:trPr>
          <w:trHeight w:val="20"/>
        </w:trPr>
        <w:tc>
          <w:tcPr>
            <w:tcW w:w="3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4480" w:type="dxa"/>
            <w:vAlign w:val="bottom"/>
            <w:tcBorders>
              <w:right w:val="single" w:sz="8" w:color="0000EE"/>
            </w:tcBorders>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460" w:type="dxa"/>
            <w:vAlign w:val="bottom"/>
            <w:gridSpan w:val="3"/>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7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640" w:type="dxa"/>
            <w:vAlign w:val="bottom"/>
          </w:tcPr>
          <w:p>
            <w:pPr>
              <w:spacing w:after="0"/>
              <w:rPr>
                <w:sz w:val="24"/>
                <w:szCs w:val="24"/>
                <w:color w:val="auto"/>
              </w:rPr>
            </w:pPr>
          </w:p>
        </w:tc>
        <w:tc>
          <w:tcPr>
            <w:tcW w:w="10120" w:type="dxa"/>
            <w:vAlign w:val="bottom"/>
            <w:gridSpan w:val="11"/>
          </w:tcPr>
          <w:p>
            <w:pPr>
              <w:spacing w:after="0"/>
              <w:rPr>
                <w:rFonts w:ascii="Times New Roman" w:cs="Times New Roman" w:eastAsia="Times New Roman" w:hAnsi="Times New Roman"/>
                <w:sz w:val="18"/>
                <w:szCs w:val="18"/>
                <w:color w:val="0000FF"/>
              </w:rPr>
            </w:pPr>
            <w:hyperlink r:id="rId370">
              <w:r>
                <w:rPr>
                  <w:rFonts w:ascii="Times New Roman" w:cs="Times New Roman" w:eastAsia="Times New Roman" w:hAnsi="Times New Roman"/>
                  <w:sz w:val="18"/>
                  <w:szCs w:val="18"/>
                  <w:color w:val="0000FF"/>
                </w:rPr>
                <w:t>Form of Brown &amp; Brown, Inc.'s 5.650% Notes due 2034 (incorporated by reference to Exhibit 4.3 to Form 8-K filed on June 11, 2024).</w:t>
              </w:r>
            </w:hyperlink>
          </w:p>
        </w:tc>
      </w:tr>
      <w:tr>
        <w:trPr>
          <w:trHeight w:val="20"/>
        </w:trPr>
        <w:tc>
          <w:tcPr>
            <w:tcW w:w="3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FF"/>
            </w:tcBorders>
            <w:gridSpan w:val="4"/>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3460" w:type="dxa"/>
            <w:vAlign w:val="bottom"/>
            <w:tcBorders>
              <w:left w:val="single" w:sz="8" w:color="0000FF"/>
            </w:tcBorders>
            <w:gridSpan w:val="3"/>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7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4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Rule 13a-14(a)/15d-14(a) Certification by the Chief Executive Officer of the Registrant.</w:t>
            </w:r>
          </w:p>
        </w:tc>
      </w:tr>
      <w:tr>
        <w:trPr>
          <w:trHeight w:val="20"/>
        </w:trPr>
        <w:tc>
          <w:tcPr>
            <w:tcW w:w="3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FF"/>
            </w:tcBorders>
            <w:gridSpan w:val="4"/>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3840" w:type="dxa"/>
            <w:vAlign w:val="bottom"/>
            <w:tcBorders>
              <w:left w:val="single" w:sz="8" w:color="0000FF"/>
            </w:tcBorders>
            <w:gridSpan w:val="6"/>
          </w:tcPr>
          <w:p>
            <w:pPr>
              <w:spacing w:after="0" w:line="20" w:lineRule="exact"/>
              <w:rPr>
                <w:sz w:val="1"/>
                <w:szCs w:val="1"/>
                <w:color w:val="auto"/>
              </w:rPr>
            </w:pPr>
          </w:p>
        </w:tc>
      </w:tr>
      <w:tr>
        <w:trPr>
          <w:trHeight w:val="37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4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Rule 13a-14(a)/15d-14(a) Certification by the Chief Financial Officer of the Registrant.</w:t>
            </w:r>
          </w:p>
        </w:tc>
      </w:tr>
      <w:tr>
        <w:trPr>
          <w:trHeight w:val="20"/>
        </w:trPr>
        <w:tc>
          <w:tcPr>
            <w:tcW w:w="3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FF"/>
            </w:tcBorders>
            <w:gridSpan w:val="4"/>
            <w:shd w:val="clear" w:color="auto" w:fill="0000FF"/>
          </w:tcPr>
          <w:p>
            <w:pPr>
              <w:spacing w:after="0" w:line="20" w:lineRule="exact"/>
              <w:rPr>
                <w:sz w:val="1"/>
                <w:szCs w:val="1"/>
                <w:color w:val="auto"/>
              </w:rPr>
            </w:pPr>
          </w:p>
        </w:tc>
        <w:tc>
          <w:tcPr>
            <w:tcW w:w="880" w:type="dxa"/>
            <w:vAlign w:val="bottom"/>
            <w:tcBorders>
              <w:left w:val="single" w:sz="8" w:color="0000FF"/>
            </w:tcBorders>
            <w:shd w:val="clear" w:color="auto" w:fill="0000FF"/>
          </w:tcPr>
          <w:p>
            <w:pPr>
              <w:spacing w:after="0" w:line="20" w:lineRule="exact"/>
              <w:rPr>
                <w:sz w:val="1"/>
                <w:szCs w:val="1"/>
                <w:color w:val="auto"/>
              </w:rPr>
            </w:pPr>
          </w:p>
        </w:tc>
        <w:tc>
          <w:tcPr>
            <w:tcW w:w="3840" w:type="dxa"/>
            <w:vAlign w:val="bottom"/>
            <w:gridSpan w:val="6"/>
          </w:tcPr>
          <w:p>
            <w:pPr>
              <w:spacing w:after="0" w:line="20" w:lineRule="exact"/>
              <w:rPr>
                <w:sz w:val="1"/>
                <w:szCs w:val="1"/>
                <w:color w:val="auto"/>
              </w:rPr>
            </w:pPr>
          </w:p>
        </w:tc>
      </w:tr>
      <w:tr>
        <w:trPr>
          <w:trHeight w:val="37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4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Section 1350 Certification by the Chief Executive Officer of the Registrant.</w:t>
            </w:r>
          </w:p>
        </w:tc>
      </w:tr>
      <w:tr>
        <w:trPr>
          <w:trHeight w:val="20"/>
        </w:trPr>
        <w:tc>
          <w:tcPr>
            <w:tcW w:w="3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5400" w:type="dxa"/>
            <w:vAlign w:val="bottom"/>
            <w:tcBorders>
              <w:right w:val="single" w:sz="8" w:color="0000FF"/>
            </w:tcBorders>
            <w:gridSpan w:val="4"/>
            <w:shd w:val="clear" w:color="auto" w:fill="0000FF"/>
          </w:tcPr>
          <w:p>
            <w:pPr>
              <w:spacing w:after="0" w:line="20" w:lineRule="exact"/>
              <w:rPr>
                <w:sz w:val="1"/>
                <w:szCs w:val="1"/>
                <w:color w:val="auto"/>
              </w:rPr>
            </w:pPr>
          </w:p>
        </w:tc>
        <w:tc>
          <w:tcPr>
            <w:tcW w:w="4720" w:type="dxa"/>
            <w:vAlign w:val="bottom"/>
            <w:tcBorders>
              <w:left w:val="single" w:sz="8" w:color="0000FF"/>
            </w:tcBorders>
            <w:gridSpan w:val="7"/>
          </w:tcPr>
          <w:p>
            <w:pPr>
              <w:spacing w:after="0" w:line="20" w:lineRule="exact"/>
              <w:rPr>
                <w:sz w:val="1"/>
                <w:szCs w:val="1"/>
                <w:color w:val="auto"/>
              </w:rPr>
            </w:pPr>
          </w:p>
        </w:tc>
      </w:tr>
      <w:tr>
        <w:trPr>
          <w:trHeight w:val="371"/>
        </w:trPr>
        <w:tc>
          <w:tcPr>
            <w:tcW w:w="3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40" w:type="dxa"/>
            <w:vAlign w:val="bottom"/>
          </w:tcPr>
          <w:p>
            <w:pPr>
              <w:spacing w:after="0"/>
              <w:rPr>
                <w:sz w:val="24"/>
                <w:szCs w:val="24"/>
                <w:color w:val="auto"/>
              </w:rPr>
            </w:pPr>
          </w:p>
        </w:tc>
        <w:tc>
          <w:tcPr>
            <w:tcW w:w="1012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Section 1350 Certification by the Chief Financial Officer of the Registrant.</w:t>
            </w:r>
          </w:p>
        </w:tc>
      </w:tr>
      <w:tr>
        <w:trPr>
          <w:trHeight w:val="20"/>
        </w:trPr>
        <w:tc>
          <w:tcPr>
            <w:tcW w:w="34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70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2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1080" w:right="200" w:hanging="969"/>
        <w:spacing w:after="0" w:line="260"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financial statements from the Company’s Quarterly Report on Form 10-Q for the quarter ended June 30, 2024, formatted in inline XBRL, include: (i) Condensed Consolidated Statements of Income, (ii) Condensed Consolidated Balance Sheets, (iii) Condensed Consolidated Statements of Comprehensive Income, (iv) Condensed Consolidated Statements of Equity, (v) Condensed Consolidated Statements of Cash Flows and (vi) the Notes to the Condensed Consolidated Financial Statements.</w:t>
      </w:r>
    </w:p>
    <w:p>
      <w:pPr>
        <w:spacing w:after="0" w:line="141" w:lineRule="exact"/>
        <w:rPr>
          <w:sz w:val="20"/>
          <w:szCs w:val="20"/>
          <w:color w:val="auto"/>
        </w:rPr>
      </w:pPr>
    </w:p>
    <w:p>
      <w:pPr>
        <w:ind w:left="1080" w:hanging="969"/>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in inline XBRL and included in Exhibit 101).</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33"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0" w:right="359" w:bottom="1440" w:gutter="0" w:footer="0" w:header="0"/>
        </w:sectPr>
      </w:pPr>
    </w:p>
    <w:bookmarkStart w:id="42" w:name="page43"/>
    <w:bookmarkEnd w:id="4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firstLine="499"/>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BROWN &amp; BROWN, INC.</w:t>
      </w:r>
    </w:p>
    <w:p>
      <w:pPr>
        <w:spacing w:after="0" w:line="323"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26035</wp:posOffset>
            </wp:positionV>
            <wp:extent cx="349377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52" w:lineRule="exact"/>
        <w:rPr>
          <w:sz w:val="20"/>
          <w:szCs w:val="20"/>
          <w:color w:val="auto"/>
        </w:rPr>
      </w:pPr>
    </w:p>
    <w:p>
      <w:pPr>
        <w:ind w:left="20"/>
        <w:spacing w:after="0"/>
        <w:tabs>
          <w:tab w:leader="none" w:pos="7800" w:val="left"/>
        </w:tabs>
        <w:rPr>
          <w:sz w:val="20"/>
          <w:szCs w:val="20"/>
          <w:color w:val="auto"/>
        </w:rPr>
      </w:pPr>
      <w:r>
        <w:rPr>
          <w:rFonts w:ascii="Times New Roman" w:cs="Times New Roman" w:eastAsia="Times New Roman" w:hAnsi="Times New Roman"/>
          <w:sz w:val="18"/>
          <w:szCs w:val="18"/>
          <w:color w:val="auto"/>
        </w:rPr>
        <w:t>Date: July 22, 2024</w:t>
      </w:r>
      <w:r>
        <w:rPr>
          <w:sz w:val="20"/>
          <w:szCs w:val="20"/>
          <w:color w:val="auto"/>
        </w:rPr>
        <w:tab/>
      </w:r>
      <w:r>
        <w:rPr>
          <w:rFonts w:ascii="Times New Roman" w:cs="Times New Roman" w:eastAsia="Times New Roman" w:hAnsi="Times New Roman"/>
          <w:sz w:val="17"/>
          <w:szCs w:val="17"/>
          <w:b w:val="1"/>
          <w:bCs w:val="1"/>
          <w:color w:val="auto"/>
        </w:rPr>
        <w:t>R. Andrew Watts</w:t>
      </w:r>
    </w:p>
    <w:p>
      <w:pPr>
        <w:spacing w:after="0" w:line="36"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7"/>
          <w:szCs w:val="17"/>
          <w:b w:val="1"/>
          <w:bCs w:val="1"/>
          <w:color w:val="auto"/>
        </w:rPr>
        <w:t>Executive Vice President, Chief Financial Officer and Treasurer</w:t>
      </w:r>
    </w:p>
    <w:p>
      <w:pPr>
        <w:spacing w:after="0" w:line="47" w:lineRule="exact"/>
        <w:rPr>
          <w:sz w:val="20"/>
          <w:szCs w:val="20"/>
          <w:color w:val="auto"/>
        </w:rPr>
      </w:pPr>
    </w:p>
    <w:p>
      <w:pPr>
        <w:jc w:val="center"/>
        <w:ind w:left="5680"/>
        <w:spacing w:after="0"/>
        <w:rPr>
          <w:sz w:val="20"/>
          <w:szCs w:val="20"/>
          <w:color w:val="auto"/>
        </w:rPr>
      </w:pPr>
      <w:r>
        <w:rPr>
          <w:rFonts w:ascii="Times New Roman" w:cs="Times New Roman" w:eastAsia="Times New Roman" w:hAnsi="Times New Roman"/>
          <w:sz w:val="17"/>
          <w:szCs w:val="17"/>
          <w:b w:val="1"/>
          <w:bCs w:val="1"/>
          <w:color w:val="auto"/>
        </w:rPr>
        <w:t>(duly authorized officer, principal financial officer and principal</w:t>
      </w:r>
    </w:p>
    <w:p>
      <w:pPr>
        <w:spacing w:after="0" w:line="43" w:lineRule="exact"/>
        <w:rPr>
          <w:sz w:val="20"/>
          <w:szCs w:val="20"/>
          <w:color w:val="auto"/>
        </w:rPr>
      </w:pPr>
    </w:p>
    <w:p>
      <w:pPr>
        <w:jc w:val="center"/>
        <w:ind w:left="5720"/>
        <w:spacing w:after="0"/>
        <w:rPr>
          <w:sz w:val="20"/>
          <w:szCs w:val="20"/>
          <w:color w:val="auto"/>
        </w:rPr>
      </w:pPr>
      <w:r>
        <w:rPr>
          <w:rFonts w:ascii="Times New Roman" w:cs="Times New Roman" w:eastAsia="Times New Roman" w:hAnsi="Times New Roman"/>
          <w:sz w:val="18"/>
          <w:szCs w:val="18"/>
          <w:b w:val="1"/>
          <w:bCs w:val="1"/>
          <w:color w:val="auto"/>
        </w:rPr>
        <w:t>accounting officer)</w:t>
      </w:r>
    </w:p>
    <w:p>
      <w:pPr>
        <w:spacing w:after="0" w:line="200" w:lineRule="exact"/>
        <w:rPr>
          <w:sz w:val="20"/>
          <w:szCs w:val="20"/>
          <w:color w:val="auto"/>
        </w:rPr>
      </w:pPr>
    </w:p>
    <w:p>
      <w:pPr>
        <w:spacing w:after="0" w:line="23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980" w:right="6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22"/>
          <w:szCs w:val="22"/>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1237615</wp:posOffset>
            </wp:positionV>
            <wp:extent cx="71323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Brown &amp; Brown, Inc.</w:t>
      </w:r>
    </w:p>
    <w:p>
      <w:pPr>
        <w:spacing w:after="0" w:line="20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and</w:t>
      </w:r>
    </w:p>
    <w:p>
      <w:pPr>
        <w:spacing w:after="0" w:line="20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U.S. Bank Trust Company, National Association</w:t>
      </w:r>
    </w:p>
    <w:p>
      <w:pPr>
        <w:spacing w:after="0" w:line="4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(as successor to U.S. Bank National Association),</w:t>
      </w:r>
    </w:p>
    <w:p>
      <w:pPr>
        <w:spacing w:after="0" w:line="1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1477010</wp:posOffset>
            </wp:positionH>
            <wp:positionV relativeFrom="paragraph">
              <wp:posOffset>312420</wp:posOffset>
            </wp:positionV>
            <wp:extent cx="276542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27654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b w:val="1"/>
          <w:bCs w:val="1"/>
          <w:color w:val="auto"/>
        </w:rPr>
        <w:t>Fifth Supplemental Indenture</w:t>
      </w:r>
    </w:p>
    <w:p>
      <w:pPr>
        <w:spacing w:after="0" w:line="18"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Dated as of June 11, 2024</w:t>
      </w:r>
    </w:p>
    <w:p>
      <w:pPr>
        <w:spacing w:after="0" w:line="18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to Senior Debt Indenture</w:t>
      </w:r>
    </w:p>
    <w:p>
      <w:pPr>
        <w:spacing w:after="0" w:line="14"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color w:val="auto"/>
        </w:rPr>
        <w:t>Dated as of September 18, 2014</w:t>
      </w:r>
    </w:p>
    <w:p>
      <w:pPr>
        <w:spacing w:after="0" w:line="181" w:lineRule="exact"/>
        <w:rPr>
          <w:sz w:val="20"/>
          <w:szCs w:val="20"/>
          <w:color w:val="auto"/>
        </w:rPr>
      </w:pPr>
    </w:p>
    <w:p>
      <w:pPr>
        <w:jc w:val="center"/>
        <w:ind w:right="1180"/>
        <w:spacing w:after="0"/>
        <w:rPr>
          <w:sz w:val="20"/>
          <w:szCs w:val="20"/>
          <w:color w:val="auto"/>
        </w:rPr>
      </w:pPr>
      <w:r>
        <w:rPr>
          <w:rFonts w:ascii="Times New Roman" w:cs="Times New Roman" w:eastAsia="Times New Roman" w:hAnsi="Times New Roman"/>
          <w:sz w:val="22"/>
          <w:szCs w:val="22"/>
          <w:color w:val="auto"/>
        </w:rPr>
        <w:t>Establishing a series of Securities, designated</w:t>
      </w:r>
    </w:p>
    <w:p>
      <w:pPr>
        <w:spacing w:after="0" w:line="14"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2"/>
          <w:szCs w:val="22"/>
          <w:color w:val="auto"/>
        </w:rPr>
        <w:t>5.650% Senior Notes due 2034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911860</wp:posOffset>
            </wp:positionV>
            <wp:extent cx="713232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1935480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3"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86"/>
        </w:trPr>
        <w:tc>
          <w:tcPr>
            <w:tcW w:w="144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1420" w:type="dxa"/>
            <w:vAlign w:val="bottom"/>
          </w:tcPr>
          <w:p>
            <w:pPr>
              <w:spacing w:after="0"/>
              <w:rPr>
                <w:sz w:val="24"/>
                <w:szCs w:val="24"/>
                <w:color w:val="auto"/>
              </w:rPr>
            </w:pPr>
          </w:p>
        </w:tc>
      </w:tr>
      <w:tr>
        <w:trPr>
          <w:trHeight w:val="499"/>
        </w:trPr>
        <w:tc>
          <w:tcPr>
            <w:tcW w:w="144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1420" w:type="dxa"/>
            <w:vAlign w:val="bottom"/>
          </w:tcPr>
          <w:p>
            <w:pPr>
              <w:jc w:val="right"/>
              <w:ind w:right="52"/>
              <w:spacing w:after="0"/>
              <w:rPr>
                <w:sz w:val="20"/>
                <w:szCs w:val="20"/>
                <w:color w:val="auto"/>
              </w:rPr>
            </w:pPr>
            <w:r>
              <w:rPr>
                <w:rFonts w:ascii="Times New Roman" w:cs="Times New Roman" w:eastAsia="Times New Roman" w:hAnsi="Times New Roman"/>
                <w:sz w:val="22"/>
                <w:szCs w:val="22"/>
                <w:color w:val="auto"/>
              </w:rPr>
              <w:t>Page</w:t>
            </w:r>
          </w:p>
        </w:tc>
      </w:tr>
      <w:tr>
        <w:trPr>
          <w:trHeight w:val="338"/>
        </w:trPr>
        <w:tc>
          <w:tcPr>
            <w:tcW w:w="144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ONE</w:t>
            </w:r>
          </w:p>
        </w:tc>
        <w:tc>
          <w:tcPr>
            <w:tcW w:w="1420" w:type="dxa"/>
            <w:vAlign w:val="bottom"/>
          </w:tcPr>
          <w:p>
            <w:pPr>
              <w:spacing w:after="0"/>
              <w:rPr>
                <w:sz w:val="24"/>
                <w:szCs w:val="24"/>
                <w:color w:val="auto"/>
              </w:rPr>
            </w:pPr>
          </w:p>
        </w:tc>
      </w:tr>
      <w:tr>
        <w:trPr>
          <w:trHeight w:val="282"/>
        </w:trPr>
        <w:tc>
          <w:tcPr>
            <w:tcW w:w="144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DEFINITIONS AND INCORPORATION BY REFERENCE</w:t>
            </w:r>
          </w:p>
        </w:tc>
        <w:tc>
          <w:tcPr>
            <w:tcW w:w="1420" w:type="dxa"/>
            <w:vAlign w:val="bottom"/>
          </w:tcPr>
          <w:p>
            <w:pPr>
              <w:spacing w:after="0"/>
              <w:rPr>
                <w:sz w:val="24"/>
                <w:szCs w:val="24"/>
                <w:color w:val="auto"/>
              </w:rPr>
            </w:pPr>
          </w:p>
        </w:tc>
      </w:tr>
      <w:tr>
        <w:trPr>
          <w:trHeight w:val="365"/>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1.01</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Relation to Base Indenture</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1.02</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Definitions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338"/>
        </w:trPr>
        <w:tc>
          <w:tcPr>
            <w:tcW w:w="144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ARTICLE TWO</w:t>
            </w:r>
          </w:p>
        </w:tc>
        <w:tc>
          <w:tcPr>
            <w:tcW w:w="1420" w:type="dxa"/>
            <w:vAlign w:val="bottom"/>
          </w:tcPr>
          <w:p>
            <w:pPr>
              <w:spacing w:after="0"/>
              <w:rPr>
                <w:sz w:val="24"/>
                <w:szCs w:val="24"/>
                <w:color w:val="auto"/>
              </w:rPr>
            </w:pPr>
          </w:p>
        </w:tc>
      </w:tr>
      <w:tr>
        <w:trPr>
          <w:trHeight w:val="282"/>
        </w:trPr>
        <w:tc>
          <w:tcPr>
            <w:tcW w:w="144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CREATION, FORMS, TERMS AND CONDITIONS OF THE SECURITIES</w:t>
            </w:r>
          </w:p>
        </w:tc>
        <w:tc>
          <w:tcPr>
            <w:tcW w:w="1420" w:type="dxa"/>
            <w:vAlign w:val="bottom"/>
          </w:tcPr>
          <w:p>
            <w:pPr>
              <w:spacing w:after="0"/>
              <w:rPr>
                <w:sz w:val="24"/>
                <w:szCs w:val="24"/>
                <w:color w:val="auto"/>
              </w:rPr>
            </w:pPr>
          </w:p>
        </w:tc>
      </w:tr>
      <w:tr>
        <w:trPr>
          <w:trHeight w:val="365"/>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2.01</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Creation of the Notes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2.02</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Form of the Notes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2.03</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Terms and Conditions of the Notes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2.04</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Ranking</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2.05</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Sinking Fund</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2.06</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Place of Payment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2.07</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Transfer and Exchange</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2.08</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Cancellation and/or Adjustment of Global Notes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338"/>
        </w:trPr>
        <w:tc>
          <w:tcPr>
            <w:tcW w:w="144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ARTICLE THREE</w:t>
            </w:r>
          </w:p>
        </w:tc>
        <w:tc>
          <w:tcPr>
            <w:tcW w:w="1420" w:type="dxa"/>
            <w:vAlign w:val="bottom"/>
          </w:tcPr>
          <w:p>
            <w:pPr>
              <w:spacing w:after="0"/>
              <w:rPr>
                <w:sz w:val="24"/>
                <w:szCs w:val="24"/>
                <w:color w:val="auto"/>
              </w:rPr>
            </w:pPr>
          </w:p>
        </w:tc>
      </w:tr>
      <w:tr>
        <w:trPr>
          <w:trHeight w:val="282"/>
        </w:trPr>
        <w:tc>
          <w:tcPr>
            <w:tcW w:w="144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REDEMPTION OF THE NOTES</w:t>
            </w:r>
          </w:p>
        </w:tc>
        <w:tc>
          <w:tcPr>
            <w:tcW w:w="1420" w:type="dxa"/>
            <w:vAlign w:val="bottom"/>
          </w:tcPr>
          <w:p>
            <w:pPr>
              <w:spacing w:after="0"/>
              <w:rPr>
                <w:sz w:val="24"/>
                <w:szCs w:val="24"/>
                <w:color w:val="auto"/>
              </w:rPr>
            </w:pPr>
          </w:p>
        </w:tc>
      </w:tr>
      <w:tr>
        <w:trPr>
          <w:trHeight w:val="37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3.01</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Optional Redemption by Company</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338"/>
        </w:trPr>
        <w:tc>
          <w:tcPr>
            <w:tcW w:w="144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6"/>
              </w:rPr>
              <w:t>ARTICLE FOUR</w:t>
            </w:r>
          </w:p>
        </w:tc>
        <w:tc>
          <w:tcPr>
            <w:tcW w:w="1420" w:type="dxa"/>
            <w:vAlign w:val="bottom"/>
          </w:tcPr>
          <w:p>
            <w:pPr>
              <w:spacing w:after="0"/>
              <w:rPr>
                <w:sz w:val="24"/>
                <w:szCs w:val="24"/>
                <w:color w:val="auto"/>
              </w:rPr>
            </w:pPr>
          </w:p>
        </w:tc>
      </w:tr>
      <w:tr>
        <w:trPr>
          <w:trHeight w:val="282"/>
        </w:trPr>
        <w:tc>
          <w:tcPr>
            <w:tcW w:w="144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REMEDIES</w:t>
            </w:r>
          </w:p>
        </w:tc>
        <w:tc>
          <w:tcPr>
            <w:tcW w:w="1420" w:type="dxa"/>
            <w:vAlign w:val="bottom"/>
          </w:tcPr>
          <w:p>
            <w:pPr>
              <w:spacing w:after="0"/>
              <w:rPr>
                <w:sz w:val="24"/>
                <w:szCs w:val="24"/>
                <w:color w:val="auto"/>
              </w:rPr>
            </w:pPr>
          </w:p>
        </w:tc>
      </w:tr>
      <w:tr>
        <w:trPr>
          <w:trHeight w:val="37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4.01</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Event of Default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144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FIVE</w:t>
            </w:r>
          </w:p>
        </w:tc>
        <w:tc>
          <w:tcPr>
            <w:tcW w:w="1420" w:type="dxa"/>
            <w:vAlign w:val="bottom"/>
          </w:tcPr>
          <w:p>
            <w:pPr>
              <w:spacing w:after="0"/>
              <w:rPr>
                <w:sz w:val="24"/>
                <w:szCs w:val="24"/>
                <w:color w:val="auto"/>
              </w:rPr>
            </w:pPr>
          </w:p>
        </w:tc>
      </w:tr>
      <w:tr>
        <w:trPr>
          <w:trHeight w:val="282"/>
        </w:trPr>
        <w:tc>
          <w:tcPr>
            <w:tcW w:w="144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CHANGE OF CONTROL</w:t>
            </w:r>
          </w:p>
        </w:tc>
        <w:tc>
          <w:tcPr>
            <w:tcW w:w="1420" w:type="dxa"/>
            <w:vAlign w:val="bottom"/>
          </w:tcPr>
          <w:p>
            <w:pPr>
              <w:spacing w:after="0"/>
              <w:rPr>
                <w:sz w:val="24"/>
                <w:szCs w:val="24"/>
                <w:color w:val="auto"/>
              </w:rPr>
            </w:pPr>
          </w:p>
        </w:tc>
      </w:tr>
      <w:tr>
        <w:trPr>
          <w:trHeight w:val="378"/>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5.01</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Repurchase at the Option of Holders Upon Change of Control Triggering Event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338"/>
        </w:trPr>
        <w:tc>
          <w:tcPr>
            <w:tcW w:w="144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ARTICLE SIX</w:t>
            </w:r>
          </w:p>
        </w:tc>
        <w:tc>
          <w:tcPr>
            <w:tcW w:w="1420" w:type="dxa"/>
            <w:vAlign w:val="bottom"/>
          </w:tcPr>
          <w:p>
            <w:pPr>
              <w:spacing w:after="0"/>
              <w:rPr>
                <w:sz w:val="24"/>
                <w:szCs w:val="24"/>
                <w:color w:val="auto"/>
              </w:rPr>
            </w:pPr>
          </w:p>
        </w:tc>
      </w:tr>
      <w:tr>
        <w:trPr>
          <w:trHeight w:val="282"/>
        </w:trPr>
        <w:tc>
          <w:tcPr>
            <w:tcW w:w="1440" w:type="dxa"/>
            <w:vAlign w:val="bottom"/>
          </w:tcPr>
          <w:p>
            <w:pPr>
              <w:spacing w:after="0"/>
              <w:rPr>
                <w:sz w:val="24"/>
                <w:szCs w:val="24"/>
                <w:color w:val="auto"/>
              </w:rPr>
            </w:pPr>
          </w:p>
        </w:tc>
        <w:tc>
          <w:tcPr>
            <w:tcW w:w="834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7"/>
              </w:rPr>
              <w:t>MISCELLANEOUS PROVISIONS</w:t>
            </w:r>
          </w:p>
        </w:tc>
        <w:tc>
          <w:tcPr>
            <w:tcW w:w="1420" w:type="dxa"/>
            <w:vAlign w:val="bottom"/>
          </w:tcPr>
          <w:p>
            <w:pPr>
              <w:spacing w:after="0"/>
              <w:rPr>
                <w:sz w:val="24"/>
                <w:szCs w:val="24"/>
                <w:color w:val="auto"/>
              </w:rPr>
            </w:pPr>
          </w:p>
        </w:tc>
      </w:tr>
      <w:tr>
        <w:trPr>
          <w:trHeight w:val="365"/>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6.01</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Ratification of Base Indenture</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6.02</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Conflict with Trust Indenture Act</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6.03</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Effect of Headings and Table of Contents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6.04</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Successors and Assigns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6.05</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Separability Clause</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6.06</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Trustee Not Responsible for Recitals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6.07</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Governing Law and Waiver of Jury Trial</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82"/>
        </w:trPr>
        <w:tc>
          <w:tcPr>
            <w:tcW w:w="1440" w:type="dxa"/>
            <w:vAlign w:val="bottom"/>
          </w:tcPr>
          <w:p>
            <w:pPr>
              <w:spacing w:after="0"/>
              <w:rPr>
                <w:sz w:val="20"/>
                <w:szCs w:val="20"/>
                <w:color w:val="auto"/>
              </w:rPr>
            </w:pPr>
            <w:r>
              <w:rPr>
                <w:rFonts w:ascii="Times New Roman" w:cs="Times New Roman" w:eastAsia="Times New Roman" w:hAnsi="Times New Roman"/>
                <w:sz w:val="22"/>
                <w:szCs w:val="22"/>
                <w:color w:val="auto"/>
              </w:rPr>
              <w:t>Section 6.08</w:t>
            </w:r>
          </w:p>
        </w:tc>
        <w:tc>
          <w:tcPr>
            <w:tcW w:w="834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Counterparts</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477520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03" w:right="359" w:bottom="1440" w:gutter="0" w:footer="0" w:header="0"/>
        </w:sectPr>
      </w:pPr>
    </w:p>
    <w:bookmarkStart w:id="45" w:name="page46"/>
    <w:bookmarkEnd w:id="45"/>
    <w:p>
      <w:pPr>
        <w:jc w:val="both"/>
        <w:ind w:right="320" w:firstLine="749"/>
        <w:spacing w:after="0" w:line="261" w:lineRule="auto"/>
        <w:rPr>
          <w:sz w:val="20"/>
          <w:szCs w:val="20"/>
          <w:color w:val="auto"/>
        </w:rPr>
      </w:pPr>
      <w:r>
        <w:rPr>
          <w:rFonts w:ascii="Times New Roman" w:cs="Times New Roman" w:eastAsia="Times New Roman" w:hAnsi="Times New Roman"/>
          <w:sz w:val="20"/>
          <w:szCs w:val="20"/>
          <w:color w:val="auto"/>
        </w:rPr>
        <w:t>FIFTH SUPPLEMENTAL INDENTURE, dated as of June 11, 2024 (this “Fifth Supplemental Indenture”) between Brown &amp; Brown, Inc., a corporation duly organized and existing under the laws of the State of Florida (hereinafter called the “Company”), having its principal executive office located at 300 North Beach Street, Daytona Beach, Florida 32114, and U.S.</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Bank Trust Company, National Association (as successor to U.S. Bank National Association), a national banking association duly organized and existing under the laws of the United States (hereinafter called the “Trustee”).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09"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WHEREAS, the Company and the Trustee have heretofore executed and delivered an Indenture, dated as of September 18, 2014 (the “Base Indenture” and, together with this Fifth Supplemental Indenture, the “Indenture”), providing for the issuance from time to time of the Company’s senior unsecured debentures, notes or other evidences of indebtedness (herein and therein called the “Securities”), to be issued in one or more series as provided in the Base Indenture;</w:t>
      </w:r>
    </w:p>
    <w:p>
      <w:pPr>
        <w:spacing w:after="0" w:line="179" w:lineRule="exact"/>
        <w:rPr>
          <w:sz w:val="20"/>
          <w:szCs w:val="20"/>
          <w:color w:val="auto"/>
        </w:rPr>
      </w:pPr>
    </w:p>
    <w:p>
      <w:pPr>
        <w:ind w:right="360" w:firstLine="749"/>
        <w:spacing w:after="0" w:line="307" w:lineRule="auto"/>
        <w:rPr>
          <w:sz w:val="20"/>
          <w:szCs w:val="20"/>
          <w:color w:val="auto"/>
        </w:rPr>
      </w:pPr>
      <w:r>
        <w:rPr>
          <w:rFonts w:ascii="Times New Roman" w:cs="Times New Roman" w:eastAsia="Times New Roman" w:hAnsi="Times New Roman"/>
          <w:sz w:val="20"/>
          <w:szCs w:val="20"/>
          <w:color w:val="auto"/>
        </w:rPr>
        <w:t>WHEREAS, Section 901 of the Base Indenture permits the Company and the Trustee to enter into a supplemental indenture to the Base Indenture without the consent of any Holders to establish the form and terms of any series of Securities;</w:t>
      </w:r>
    </w:p>
    <w:p>
      <w:pPr>
        <w:spacing w:after="0" w:line="113" w:lineRule="exact"/>
        <w:rPr>
          <w:sz w:val="20"/>
          <w:szCs w:val="20"/>
          <w:color w:val="auto"/>
        </w:rPr>
      </w:pPr>
    </w:p>
    <w:p>
      <w:pPr>
        <w:ind w:right="740" w:firstLine="749"/>
        <w:spacing w:after="0" w:line="258" w:lineRule="auto"/>
        <w:rPr>
          <w:sz w:val="20"/>
          <w:szCs w:val="20"/>
          <w:color w:val="auto"/>
        </w:rPr>
      </w:pPr>
      <w:r>
        <w:rPr>
          <w:rFonts w:ascii="Times New Roman" w:cs="Times New Roman" w:eastAsia="Times New Roman" w:hAnsi="Times New Roman"/>
          <w:sz w:val="22"/>
          <w:szCs w:val="22"/>
          <w:color w:val="auto"/>
        </w:rPr>
        <w:t>WHEREAS, Section 201 of the Base Indenture permits the form of Securities of any series to be established in a supplemental indenture to the Base Indenture;</w:t>
      </w:r>
    </w:p>
    <w:p>
      <w:pPr>
        <w:spacing w:after="0" w:line="157" w:lineRule="exact"/>
        <w:rPr>
          <w:sz w:val="20"/>
          <w:szCs w:val="20"/>
          <w:color w:val="auto"/>
        </w:rPr>
      </w:pPr>
    </w:p>
    <w:p>
      <w:pPr>
        <w:ind w:right="740" w:firstLine="749"/>
        <w:spacing w:after="0" w:line="258" w:lineRule="auto"/>
        <w:rPr>
          <w:sz w:val="20"/>
          <w:szCs w:val="20"/>
          <w:color w:val="auto"/>
        </w:rPr>
      </w:pPr>
      <w:r>
        <w:rPr>
          <w:rFonts w:ascii="Times New Roman" w:cs="Times New Roman" w:eastAsia="Times New Roman" w:hAnsi="Times New Roman"/>
          <w:sz w:val="22"/>
          <w:szCs w:val="22"/>
          <w:color w:val="auto"/>
        </w:rPr>
        <w:t>WHEREAS, Section 301 of the Base Indenture permits certain terms of any series of Securities to be established pursuant to a supplemental indenture to the Base Indenture;</w:t>
      </w:r>
    </w:p>
    <w:p>
      <w:pPr>
        <w:spacing w:after="0" w:line="157" w:lineRule="exact"/>
        <w:rPr>
          <w:sz w:val="20"/>
          <w:szCs w:val="20"/>
          <w:color w:val="auto"/>
        </w:rPr>
      </w:pPr>
    </w:p>
    <w:p>
      <w:pPr>
        <w:ind w:firstLine="749"/>
        <w:spacing w:after="0" w:line="237" w:lineRule="auto"/>
        <w:rPr>
          <w:sz w:val="20"/>
          <w:szCs w:val="20"/>
          <w:color w:val="auto"/>
        </w:rPr>
      </w:pPr>
      <w:r>
        <w:rPr>
          <w:rFonts w:ascii="Times New Roman" w:cs="Times New Roman" w:eastAsia="Times New Roman" w:hAnsi="Times New Roman"/>
          <w:sz w:val="22"/>
          <w:szCs w:val="22"/>
          <w:color w:val="auto"/>
        </w:rPr>
        <w:t>WHEREAS, pursuant to Sections 201 and 301 of the Base Indenture, the Company desires to provide for the establishment of a new series of Securities originally in an aggregate principal amount of $600,000,000 to be designated the “5.650% Senior Notes due 2034” (hereinafter called the “Initial Notes”) under the Base Indenture, the form and substance of such Initial Notes and any Additional Notes (as defined herein) and the terms, provisions and conditions thereof to be set forth as provided in the Base Indenture and this Fifth Supplemental Indenture; and</w:t>
      </w:r>
    </w:p>
    <w:p>
      <w:pPr>
        <w:spacing w:after="0" w:line="180" w:lineRule="exact"/>
        <w:rPr>
          <w:sz w:val="20"/>
          <w:szCs w:val="20"/>
          <w:color w:val="auto"/>
        </w:rPr>
      </w:pPr>
    </w:p>
    <w:p>
      <w:pPr>
        <w:ind w:right="620" w:firstLine="749"/>
        <w:spacing w:after="0" w:line="258" w:lineRule="auto"/>
        <w:rPr>
          <w:sz w:val="20"/>
          <w:szCs w:val="20"/>
          <w:color w:val="auto"/>
        </w:rPr>
      </w:pPr>
      <w:r>
        <w:rPr>
          <w:rFonts w:ascii="Times New Roman" w:cs="Times New Roman" w:eastAsia="Times New Roman" w:hAnsi="Times New Roman"/>
          <w:sz w:val="22"/>
          <w:szCs w:val="22"/>
          <w:color w:val="auto"/>
        </w:rPr>
        <w:t>WHEREAS, all things necessary to make this Fifth Supplemental Indenture a valid agreement of the Company, in accordance with its terms, have been done;</w:t>
      </w:r>
    </w:p>
    <w:p>
      <w:pPr>
        <w:spacing w:after="0" w:line="157" w:lineRule="exact"/>
        <w:rPr>
          <w:sz w:val="20"/>
          <w:szCs w:val="20"/>
          <w:color w:val="auto"/>
        </w:rPr>
      </w:pPr>
    </w:p>
    <w:p>
      <w:pPr>
        <w:ind w:right="260" w:firstLine="749"/>
        <w:spacing w:after="0" w:line="244" w:lineRule="auto"/>
        <w:rPr>
          <w:sz w:val="20"/>
          <w:szCs w:val="20"/>
          <w:color w:val="auto"/>
        </w:rPr>
      </w:pPr>
      <w:r>
        <w:rPr>
          <w:rFonts w:ascii="Times New Roman" w:cs="Times New Roman" w:eastAsia="Times New Roman" w:hAnsi="Times New Roman"/>
          <w:sz w:val="22"/>
          <w:szCs w:val="22"/>
          <w:color w:val="auto"/>
        </w:rPr>
        <w:t>NOW, THEREFORE, for and in consideration of the foregoing and the purchase of the Notes (as defined herein) established by this Fifth Supplemental Indenture by the holders thereof (the “Holders”), it is mutually agreed, for the equal and proportionate benefit of all such Holders, as follows: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ONE</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DEFINITIONS AND INCORPORATION BY REFERENCE</w:t>
      </w:r>
    </w:p>
    <w:p>
      <w:pPr>
        <w:spacing w:after="0" w:line="181" w:lineRule="exact"/>
        <w:rPr>
          <w:sz w:val="20"/>
          <w:szCs w:val="20"/>
          <w:color w:val="auto"/>
        </w:rPr>
      </w:pPr>
    </w:p>
    <w:p>
      <w:pPr>
        <w:ind w:right="80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1.01 </w:t>
      </w:r>
      <w:r>
        <w:rPr>
          <w:rFonts w:ascii="Times New Roman" w:cs="Times New Roman" w:eastAsia="Times New Roman" w:hAnsi="Times New Roman"/>
          <w:sz w:val="22"/>
          <w:szCs w:val="22"/>
          <w:u w:val="single" w:color="auto"/>
          <w:color w:val="auto"/>
        </w:rPr>
        <w:t>Relation to Base Indenture</w:t>
      </w:r>
      <w:r>
        <w:rPr>
          <w:rFonts w:ascii="Times New Roman" w:cs="Times New Roman" w:eastAsia="Times New Roman" w:hAnsi="Times New Roman"/>
          <w:sz w:val="22"/>
          <w:szCs w:val="22"/>
          <w:color w:val="auto"/>
        </w:rPr>
        <w:t>. This Fifth Supplemental Indenture constitutes a part of the Base Indenture (the provisions of which, as modified by this Fifth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46" w:name="page47"/>
    <w:bookmarkEnd w:id="46"/>
    <w:p>
      <w:pPr>
        <w:spacing w:after="0" w:line="18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Supplemental Indenture, shall apply to the Notes) in respect of the Notes but shall not modify, amend or otherwise affect the Base Indenture insofar as it relates to any other series of Securities or modify, amend or otherwise affect in any manner the terms and conditions of the Securities of any other series.</w:t>
      </w:r>
    </w:p>
    <w:p>
      <w:pPr>
        <w:spacing w:after="0" w:line="172"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1.02</w:t>
      </w:r>
      <w:r>
        <w:rPr>
          <w:sz w:val="20"/>
          <w:szCs w:val="20"/>
          <w:color w:val="auto"/>
        </w:rPr>
        <w:tab/>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all purposes of this Fifth Supplemental Indenture, the capitalized terms used herein</w:t>
      </w:r>
    </w:p>
    <w:p>
      <w:pPr>
        <w:spacing w:after="0" w:line="14" w:lineRule="exact"/>
        <w:rPr>
          <w:sz w:val="20"/>
          <w:szCs w:val="20"/>
          <w:color w:val="auto"/>
        </w:rPr>
      </w:pPr>
    </w:p>
    <w:p>
      <w:pPr>
        <w:ind w:right="260" w:firstLine="8"/>
        <w:spacing w:after="0" w:line="235" w:lineRule="auto"/>
        <w:tabs>
          <w:tab w:leader="none" w:pos="25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which are defined in this Section 1.02 have the respective meanings assigned hereto in this Section 1.02 and (ii) which are defined in the Base Indenture (and which are not otherwise defined in this Section 1.02) have the respective meanings assigned thereto in the Base Indenture. For all purposes of this Fifth Supplemental Indenture:</w:t>
      </w:r>
    </w:p>
    <w:p>
      <w:pPr>
        <w:spacing w:after="0" w:line="176" w:lineRule="exact"/>
        <w:rPr>
          <w:rFonts w:ascii="Times New Roman" w:cs="Times New Roman" w:eastAsia="Times New Roman" w:hAnsi="Times New Roman"/>
          <w:sz w:val="22"/>
          <w:szCs w:val="22"/>
          <w:color w:val="auto"/>
        </w:rPr>
      </w:pPr>
    </w:p>
    <w:p>
      <w:pPr>
        <w:ind w:right="700" w:firstLine="1505"/>
        <w:spacing w:after="0" w:line="258" w:lineRule="auto"/>
        <w:tabs>
          <w:tab w:leader="none" w:pos="2037"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the context otherwise requires, any reference to an Article or Section refers to an Article or Section, as the case may be, of this Fifth Supplemental Indenture;</w:t>
      </w:r>
    </w:p>
    <w:p>
      <w:pPr>
        <w:spacing w:after="0" w:line="157" w:lineRule="exact"/>
        <w:rPr>
          <w:rFonts w:ascii="Times New Roman" w:cs="Times New Roman" w:eastAsia="Times New Roman" w:hAnsi="Times New Roman"/>
          <w:sz w:val="22"/>
          <w:szCs w:val="22"/>
          <w:color w:val="auto"/>
        </w:rPr>
      </w:pPr>
    </w:p>
    <w:p>
      <w:pPr>
        <w:ind w:right="320" w:firstLine="1505"/>
        <w:spacing w:after="0" w:line="258" w:lineRule="auto"/>
        <w:tabs>
          <w:tab w:leader="none" w:pos="2037"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“herein,” “hereof,” “hereto” and “hereunder” and other words of similar import refer to this Fifth Supplemental Indenture as a whole and not to any particular Article, Section or other subdivision;</w:t>
      </w:r>
    </w:p>
    <w:p>
      <w:pPr>
        <w:spacing w:after="0" w:line="15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Headings are for convenience or reference only and do not affect interpretations; and</w:t>
      </w:r>
    </w:p>
    <w:p>
      <w:pPr>
        <w:spacing w:after="0" w:line="205"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defined in this Section 1.02(d) include the plural as well as the singular:</w:t>
      </w:r>
    </w:p>
    <w:p>
      <w:pPr>
        <w:spacing w:after="0" w:line="205" w:lineRule="exact"/>
        <w:rPr>
          <w:sz w:val="20"/>
          <w:szCs w:val="20"/>
          <w:color w:val="auto"/>
        </w:rPr>
      </w:pPr>
    </w:p>
    <w:p>
      <w:pPr>
        <w:ind w:right="380" w:firstLine="749"/>
        <w:spacing w:after="0" w:line="258" w:lineRule="auto"/>
        <w:rPr>
          <w:sz w:val="20"/>
          <w:szCs w:val="20"/>
          <w:color w:val="auto"/>
        </w:rPr>
      </w:pPr>
      <w:r>
        <w:rPr>
          <w:rFonts w:ascii="Times New Roman" w:cs="Times New Roman" w:eastAsia="Times New Roman" w:hAnsi="Times New Roman"/>
          <w:sz w:val="22"/>
          <w:szCs w:val="22"/>
          <w:color w:val="auto"/>
        </w:rPr>
        <w:t>“Additional Notes” means Notes (other than Initial Notes), if any, issued pursuant to Section 2.03(f) and otherwise in compliance with the provisions of this Indenture.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“Applicable Procedures” has the meaning set forth in Section 2.07(a).</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“Base Indenture” has the meaning given to such term in the Recitals hereof.</w:t>
      </w:r>
    </w:p>
    <w:p>
      <w:pPr>
        <w:spacing w:after="0" w:line="205"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22"/>
          <w:szCs w:val="22"/>
          <w:color w:val="auto"/>
        </w:rPr>
        <w:t>“Business Day” means any day, other than a Saturday, Sunday or other day on which commercial banks in New York City are authorized or required by law to remain closed.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“Change of Control” means the occurrence of any of the following:</w:t>
      </w:r>
    </w:p>
    <w:p>
      <w:pPr>
        <w:spacing w:after="0" w:line="205" w:lineRule="exact"/>
        <w:rPr>
          <w:sz w:val="20"/>
          <w:szCs w:val="20"/>
          <w:color w:val="auto"/>
        </w:rPr>
      </w:pPr>
    </w:p>
    <w:p>
      <w:pPr>
        <w:ind w:left="760" w:right="100" w:firstLine="745"/>
        <w:spacing w:after="0" w:line="239" w:lineRule="auto"/>
        <w:tabs>
          <w:tab w:leader="none" w:pos="2048"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 or indirect sale, lease, transfer, conveyance or other disposition (other than by way of merger or consolidation), in one or a series of related transactions, of all or substantially all of the assets of the Company and its subsidiaries taken as a whole to any Person (including any “person” (as that term is used in Section 13(d)(3) of the Exchange Act)) other than to the Company or one of its subsidiaries;</w:t>
      </w:r>
    </w:p>
    <w:p>
      <w:pPr>
        <w:spacing w:after="0" w:line="178" w:lineRule="exact"/>
        <w:rPr>
          <w:rFonts w:ascii="Times New Roman" w:cs="Times New Roman" w:eastAsia="Times New Roman" w:hAnsi="Times New Roman"/>
          <w:sz w:val="22"/>
          <w:szCs w:val="22"/>
          <w:color w:val="auto"/>
        </w:rPr>
      </w:pPr>
    </w:p>
    <w:p>
      <w:pPr>
        <w:ind w:left="760" w:firstLine="745"/>
        <w:spacing w:after="0" w:line="271" w:lineRule="auto"/>
        <w:tabs>
          <w:tab w:leader="none" w:pos="2048"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of any transaction (including without limitation, any merger or consolidation) the result of which is that any Person (including any “person” (as that term is used in Section 13(d)(3) of the Exchange Act)) becomes the “beneficial owner” (as defined in Rules 13d-3 and 13d-5 under the Exchange Act), directly or indirectly, of more than 50% of the Company’s outstanding Voting Stock, measured by voting power rather than number of shares; or</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83" w:lineRule="exact"/>
        <w:rPr>
          <w:sz w:val="20"/>
          <w:szCs w:val="20"/>
          <w:color w:val="auto"/>
        </w:rPr>
      </w:pPr>
    </w:p>
    <w:p>
      <w:pPr>
        <w:ind w:left="2040" w:hanging="535"/>
        <w:spacing w:after="0"/>
        <w:tabs>
          <w:tab w:leader="none" w:pos="204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adoption of a plan relating to the Company’s liquidation or dissolution.</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“Change of Control Triggering Event” means the occurrence of both a Change of Control and a Ratings Decline.</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“Company” has the meaning given to such term in the preamble hereof.</w:t>
      </w:r>
    </w:p>
    <w:p>
      <w:pPr>
        <w:spacing w:after="0" w:line="205" w:lineRule="exact"/>
        <w:rPr>
          <w:sz w:val="20"/>
          <w:szCs w:val="20"/>
          <w:color w:val="auto"/>
        </w:rPr>
      </w:pPr>
    </w:p>
    <w:p>
      <w:pPr>
        <w:ind w:right="160" w:firstLine="749"/>
        <w:spacing w:after="0" w:line="244" w:lineRule="auto"/>
        <w:rPr>
          <w:sz w:val="20"/>
          <w:szCs w:val="20"/>
          <w:color w:val="auto"/>
        </w:rPr>
      </w:pPr>
      <w:r>
        <w:rPr>
          <w:rFonts w:ascii="Times New Roman" w:cs="Times New Roman" w:eastAsia="Times New Roman" w:hAnsi="Times New Roman"/>
          <w:sz w:val="22"/>
          <w:szCs w:val="22"/>
          <w:color w:val="auto"/>
        </w:rPr>
        <w:t xml:space="preserve">“Definitive Notes” means certificated Notes registered in the name of the Holder thereof and issued in accordance with Section 2.02 hereof,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except that such Security shall not bear the Global Note Legend.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“Depositary” means, with respect to Global Notes issued under this Fifth Supplemental Indenture, DTC.</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“DTC” means The Depository Trust Company, its nominees and their successors and assigns.</w:t>
      </w:r>
    </w:p>
    <w:p>
      <w:pPr>
        <w:spacing w:after="0" w:line="205"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22"/>
          <w:szCs w:val="22"/>
          <w:color w:val="auto"/>
        </w:rPr>
        <w:t xml:space="preserve">“Global Note” means a single permanent fully-registered global note in book-entry form, without coupons,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“Global Note Legend” means any legend set forth on the face of any Global Note identifying such Note as a Global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w:t>
      </w:r>
    </w:p>
    <w:p>
      <w:pPr>
        <w:spacing w:after="0" w:line="181" w:lineRule="exact"/>
        <w:rPr>
          <w:sz w:val="20"/>
          <w:szCs w:val="20"/>
          <w:color w:val="auto"/>
        </w:rPr>
      </w:pPr>
    </w:p>
    <w:p>
      <w:pPr>
        <w:ind w:right="100" w:firstLine="749"/>
        <w:spacing w:after="0" w:line="258" w:lineRule="auto"/>
        <w:rPr>
          <w:sz w:val="20"/>
          <w:szCs w:val="20"/>
          <w:color w:val="auto"/>
        </w:rPr>
      </w:pPr>
      <w:r>
        <w:rPr>
          <w:rFonts w:ascii="Times New Roman" w:cs="Times New Roman" w:eastAsia="Times New Roman" w:hAnsi="Times New Roman"/>
          <w:sz w:val="22"/>
          <w:szCs w:val="22"/>
          <w:color w:val="auto"/>
        </w:rPr>
        <w:t>“Holders” has the meaning given to such term in the Recitals hereof. “Indenture” has the meaning given to such term in the Recitals hereof.</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“Indirect Participant” means a Person who holds a beneficial interest in a Global Note through a Participant.</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“Interest Payment Date” has the meaning set forth in Section 2.03(c).</w:t>
      </w:r>
    </w:p>
    <w:p>
      <w:pPr>
        <w:spacing w:after="0" w:line="205" w:lineRule="exact"/>
        <w:rPr>
          <w:sz w:val="20"/>
          <w:szCs w:val="20"/>
          <w:color w:val="auto"/>
        </w:rPr>
      </w:pPr>
    </w:p>
    <w:p>
      <w:pPr>
        <w:ind w:firstLine="749"/>
        <w:spacing w:after="0" w:line="239" w:lineRule="auto"/>
        <w:rPr>
          <w:sz w:val="20"/>
          <w:szCs w:val="20"/>
          <w:color w:val="auto"/>
        </w:rPr>
      </w:pPr>
      <w:r>
        <w:rPr>
          <w:rFonts w:ascii="Times New Roman" w:cs="Times New Roman" w:eastAsia="Times New Roman" w:hAnsi="Times New Roman"/>
          <w:sz w:val="22"/>
          <w:szCs w:val="22"/>
          <w:color w:val="auto"/>
        </w:rPr>
        <w:t>“Investment Grade” means a rating of Baa3 or better by Moody’s (or its equivalent under any successor rating categories of Moody’s) and BBB- or better by S&amp;P (or its equivalent under any successor rating categories of S&amp;P) (or, in each case, if such Rating Agency ceases to rate the Notes for reasons outside of the Company’s control, the equivalent investment grade credit rating from any Rating Agency selected by the Company as a replacement Rating Agency).</w:t>
      </w:r>
    </w:p>
    <w:p>
      <w:pPr>
        <w:spacing w:after="0" w:line="179" w:lineRule="exact"/>
        <w:rPr>
          <w:sz w:val="20"/>
          <w:szCs w:val="20"/>
          <w:color w:val="auto"/>
        </w:rPr>
      </w:pPr>
    </w:p>
    <w:p>
      <w:pPr>
        <w:ind w:right="40" w:firstLine="749"/>
        <w:spacing w:after="0" w:line="237" w:lineRule="auto"/>
        <w:rPr>
          <w:sz w:val="20"/>
          <w:szCs w:val="20"/>
          <w:color w:val="auto"/>
        </w:rPr>
      </w:pPr>
      <w:r>
        <w:rPr>
          <w:rFonts w:ascii="Times New Roman" w:cs="Times New Roman" w:eastAsia="Times New Roman" w:hAnsi="Times New Roman"/>
          <w:sz w:val="22"/>
          <w:szCs w:val="22"/>
          <w:color w:val="auto"/>
        </w:rPr>
        <w:t>“Maturity”, means the date on which the principal of the Notes or an installment of principal becomes due and payable as provided in or pursuant to this Fifth Supplemental Indenture and the Base Indenture or such Note, whether at the Maturity Date, by declaration of acceleration or upon repurchase at the option of one or more Holders pursuant to Section 5.01 hereof, and includes a Redemption Date for such Note and a date fixed for the repurchase or repayment of such Note at the option of the Holder.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“Moody’s” means Moody’s Investors Service Inc. and any successor to its rating agency business.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“Notes” means the Initial Notes together with the Additional Notes, if any.</w:t>
      </w: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8" w:name="page49"/>
    <w:bookmarkEnd w:id="48"/>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“Par Call Date” has the meaning set forth in Section 3.01(a).</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“Participant” means, with respect to the Depositary, a Person who has an account with the Depositary.</w:t>
      </w:r>
    </w:p>
    <w:p>
      <w:pPr>
        <w:spacing w:after="0" w:line="205" w:lineRule="exact"/>
        <w:rPr>
          <w:sz w:val="20"/>
          <w:szCs w:val="20"/>
          <w:color w:val="auto"/>
        </w:rPr>
      </w:pPr>
    </w:p>
    <w:p>
      <w:pPr>
        <w:ind w:right="940" w:firstLine="749"/>
        <w:spacing w:after="0" w:line="258" w:lineRule="auto"/>
        <w:rPr>
          <w:sz w:val="20"/>
          <w:szCs w:val="20"/>
          <w:color w:val="auto"/>
        </w:rPr>
      </w:pPr>
      <w:r>
        <w:rPr>
          <w:rFonts w:ascii="Times New Roman" w:cs="Times New Roman" w:eastAsia="Times New Roman" w:hAnsi="Times New Roman"/>
          <w:sz w:val="22"/>
          <w:szCs w:val="22"/>
          <w:color w:val="auto"/>
        </w:rPr>
        <w:t>“Person” means any individual, corporation, partnership, joint venture, association, joint-stock company, trust, unincorporated organization, limited liability company or government or other entity.</w:t>
      </w:r>
    </w:p>
    <w:p>
      <w:pPr>
        <w:spacing w:after="0" w:line="157" w:lineRule="exact"/>
        <w:rPr>
          <w:sz w:val="20"/>
          <w:szCs w:val="20"/>
          <w:color w:val="auto"/>
        </w:rPr>
      </w:pPr>
    </w:p>
    <w:p>
      <w:pPr>
        <w:ind w:right="220" w:firstLine="749"/>
        <w:spacing w:after="0" w:line="239" w:lineRule="auto"/>
        <w:rPr>
          <w:sz w:val="20"/>
          <w:szCs w:val="20"/>
          <w:color w:val="auto"/>
        </w:rPr>
      </w:pPr>
      <w:r>
        <w:rPr>
          <w:rFonts w:ascii="Times New Roman" w:cs="Times New Roman" w:eastAsia="Times New Roman" w:hAnsi="Times New Roman"/>
          <w:sz w:val="22"/>
          <w:szCs w:val="22"/>
          <w:color w:val="auto"/>
        </w:rPr>
        <w:t>“Rating Agency” means (1) each of Moody’s and S&amp;P; and (2) if either of Moody’s or S&amp;P ceases to rate the Notes or fails to make a rating of the Notes publicly available for reasons outside of the Company’s control, any other “nationally recognized statistical rating organization” registered under Rule 15E under the Exchange Act selected by the Company as a replacement agency for Moody’s or S&amp;P, or both, as the case may be.</w:t>
      </w:r>
    </w:p>
    <w:p>
      <w:pPr>
        <w:spacing w:after="0" w:line="17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20"/>
          <w:szCs w:val="20"/>
          <w:color w:val="auto"/>
        </w:rPr>
        <w:t>“Ratings Decline” means at any time during the period commencing on the earlier of, (i) the occurrence of a Change of Control or (ii) public notice of the occurrence of a Change of Control or the intention by the Company to effect a Change of Control, and ending sixty (60) days thereafter (which period shall be extended so long as the rating of the Notes is under publicly announced consideration for a possible downgrade by any of the Rating Agencies) that (a) the rating of the Notes shall be reduced by both Rating Agencies and (b) the Notes shall be rated below Investment Grade by each of the Rating Agencies.</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“Redemption Date” means the Business Day on which the Notes are redeemed by the Company pursuant to Section 3.01</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hereof.</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“Redemption Price” has the meaning set forth in Section 3.01(a).</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“Regular Record Date” has the meaning set forth in Section 2.03(c).</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“Registered Securities” means any Securities which are registered in the Security Register.</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“S&amp;P” means S&amp;P Global Ratings and any successor to its rating agency business.</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“Securities” has the meaning given to such term in the Recitals hereof.</w:t>
      </w:r>
    </w:p>
    <w:p>
      <w:pPr>
        <w:spacing w:after="0" w:line="205" w:lineRule="exact"/>
        <w:rPr>
          <w:sz w:val="20"/>
          <w:szCs w:val="20"/>
          <w:color w:val="auto"/>
        </w:rPr>
      </w:pPr>
    </w:p>
    <w:p>
      <w:pPr>
        <w:ind w:right="120" w:firstLine="749"/>
        <w:spacing w:after="0" w:line="258" w:lineRule="auto"/>
        <w:rPr>
          <w:sz w:val="20"/>
          <w:szCs w:val="20"/>
          <w:color w:val="auto"/>
        </w:rPr>
      </w:pPr>
      <w:r>
        <w:rPr>
          <w:rFonts w:ascii="Times New Roman" w:cs="Times New Roman" w:eastAsia="Times New Roman" w:hAnsi="Times New Roman"/>
          <w:sz w:val="22"/>
          <w:szCs w:val="22"/>
          <w:color w:val="auto"/>
        </w:rPr>
        <w:t>“Treasury Rate” means, with respect to any Redemption Date, the yield determined by the Company in accordance with the following two paragraphs.</w:t>
      </w:r>
    </w:p>
    <w:p>
      <w:pPr>
        <w:spacing w:after="0" w:line="157" w:lineRule="exact"/>
        <w:rPr>
          <w:sz w:val="20"/>
          <w:szCs w:val="20"/>
          <w:color w:val="auto"/>
        </w:rPr>
      </w:pPr>
    </w:p>
    <w:p>
      <w:pPr>
        <w:ind w:firstLine="749"/>
        <w:spacing w:after="0" w:line="264" w:lineRule="auto"/>
        <w:rPr>
          <w:sz w:val="20"/>
          <w:szCs w:val="20"/>
          <w:color w:val="auto"/>
        </w:rPr>
      </w:pPr>
      <w:r>
        <w:rPr>
          <w:rFonts w:ascii="Times New Roman" w:cs="Times New Roman" w:eastAsia="Times New Roman" w:hAnsi="Times New Roman"/>
          <w:sz w:val="20"/>
          <w:szCs w:val="20"/>
          <w:color w:val="auto"/>
        </w:rPr>
        <w:t>The Treasury Rate shall be determined by the Company as of 4:15 p.m., New York City time (or as of such time as yields on U.S. government securities are posted daily by the Board of Governors of the Federal Reserve System), on the third Business Day preceding the Redemption Date based upon the yield or yields for the most recent day that appear as of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83"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76" w:lineRule="exact"/>
        <w:rPr>
          <w:sz w:val="20"/>
          <w:szCs w:val="20"/>
          <w:color w:val="auto"/>
        </w:rPr>
      </w:pPr>
    </w:p>
    <w:p>
      <w:pPr>
        <w:ind w:right="120" w:firstLine="749"/>
        <w:spacing w:after="0" w:line="232" w:lineRule="auto"/>
        <w:rPr>
          <w:sz w:val="20"/>
          <w:szCs w:val="20"/>
          <w:color w:val="auto"/>
        </w:rPr>
      </w:pPr>
      <w:r>
        <w:rPr>
          <w:rFonts w:ascii="Times New Roman" w:cs="Times New Roman" w:eastAsia="Times New Roman" w:hAnsi="Times New Roman"/>
          <w:sz w:val="22"/>
          <w:szCs w:val="22"/>
          <w:color w:val="auto"/>
        </w:rPr>
        <w:t>If on the third Business Day preceding the Redemption Date no such yield or yields appear in H.15 or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“Trustee” has the meaning given to such term in the preamble hereof.</w:t>
      </w:r>
    </w:p>
    <w:p>
      <w:pPr>
        <w:spacing w:after="0" w:line="205"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“Voting Stock” of any specified Person as of any date means the Capital Stock of such Person the holders of which are at the time entitled to vote generally in the election of the board of directors or similar governing body of such Person.</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TWO</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CREATION, FORMS, TERMS AND CONDITIONS OF THE SECURITIES</w:t>
      </w:r>
    </w:p>
    <w:p>
      <w:pPr>
        <w:spacing w:after="0" w:line="181"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u w:val="single" w:color="auto"/>
          <w:color w:val="auto"/>
        </w:rPr>
        <w:t>Creation of the Notes</w:t>
      </w:r>
      <w:r>
        <w:rPr>
          <w:rFonts w:ascii="Times New Roman" w:cs="Times New Roman" w:eastAsia="Times New Roman" w:hAnsi="Times New Roman"/>
          <w:sz w:val="22"/>
          <w:szCs w:val="22"/>
          <w:color w:val="auto"/>
        </w:rPr>
        <w:t>. In accordance with Section 301 of the Base Indenture, the Company hereby creates the Notes as a separate series of its securities issued</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0" w:name="page51"/>
    <w:bookmarkEnd w:id="50"/>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pursuant to the Indenture. The Notes shall be issued initially in an aggregate principal amount of $600,000,000.</w:t>
      </w:r>
    </w:p>
    <w:p>
      <w:pPr>
        <w:spacing w:after="0" w:line="205" w:lineRule="exact"/>
        <w:rPr>
          <w:sz w:val="20"/>
          <w:szCs w:val="20"/>
          <w:color w:val="auto"/>
        </w:rPr>
      </w:pPr>
    </w:p>
    <w:p>
      <w:pPr>
        <w:ind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2.02 </w:t>
      </w:r>
      <w:r>
        <w:rPr>
          <w:rFonts w:ascii="Times New Roman" w:cs="Times New Roman" w:eastAsia="Times New Roman" w:hAnsi="Times New Roman"/>
          <w:sz w:val="22"/>
          <w:szCs w:val="22"/>
          <w:u w:val="single" w:color="auto"/>
          <w:color w:val="auto"/>
        </w:rPr>
        <w:t>Form of the Notes</w:t>
      </w:r>
      <w:r>
        <w:rPr>
          <w:rFonts w:ascii="Times New Roman" w:cs="Times New Roman" w:eastAsia="Times New Roman" w:hAnsi="Times New Roman"/>
          <w:sz w:val="22"/>
          <w:szCs w:val="22"/>
          <w:color w:val="auto"/>
        </w:rPr>
        <w:t xml:space="preserve">. The Notes shall each be issued in the form of a Global Note, duly executed by the Company and authenticated by the Trustee, which shall be deposited with the Trustee as custodian for DTC and registered in the name of “Cede &amp; Co.,” as the nominee of DTC. The Notes shall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(including the Global Note Legend thereon). Notes issued in definitive certificated form in accordance with the terms of the Base Indenture and this Fifth Supplemental Indenture, if any, shall be substantially in the form of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 (but without the Global Note Legend thereon). So long as DTC, or its nominee, is the registered owner of a Global Note, DTC or its nominee, as the case may be, shall be considered the sole owner or Holder of the Notes represented by such Global Note for all purposes under the Indenture. Ownership of beneficial interests in such Global Note shall be shown on, and transfers thereof shall be effected only through, records maintained by DTC (with respect to beneficial interests of participants) or by participants or Persons that hold interests through participants (with respect to beneficial interests of beneficial owners). In addition, the following provisions of clauses (1), (2), and (3) below shall apply only to Global Notes:</w:t>
      </w:r>
    </w:p>
    <w:p>
      <w:pPr>
        <w:spacing w:after="0" w:line="184" w:lineRule="exact"/>
        <w:rPr>
          <w:sz w:val="20"/>
          <w:szCs w:val="20"/>
          <w:color w:val="auto"/>
        </w:rPr>
      </w:pPr>
    </w:p>
    <w:p>
      <w:pPr>
        <w:ind w:left="760" w:right="40" w:firstLine="745"/>
        <w:spacing w:after="0" w:line="234" w:lineRule="auto"/>
        <w:tabs>
          <w:tab w:leader="none" w:pos="20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other provision in the Indenture, no Global Note may be exchanged in whole or in part for Notes registered, and no transfer of a Global Note in whole or in part may be registered, in the name of any Person other than the Depositary for such Global Note or a nominee thereof unless (A) such Depositary has notified the Company that it is unwilling or unable or no longer permitted under applicable law to continue as Depositary for such Global Note and the Company has not appointed a successor Depositary within ninety (90) days of receipt of such notice or has ceased to be a clearing agency registered under the Exchange Act, (B) there shall have occurred and be continuing an Event of Default with respect to such Global Note or (C) the Company (subject to the procedures of the Depositary) so directs the Trustee by Company Order. Beneficial interests in Global Notes may be exchanged for Definitive Notes of the same series upon request but only upon prior written notice given to the Trustee by or on behalf of the Depository in accordance with customary procedures.</w:t>
      </w:r>
    </w:p>
    <w:p>
      <w:pPr>
        <w:spacing w:after="0" w:line="176" w:lineRule="exact"/>
        <w:rPr>
          <w:rFonts w:ascii="Times New Roman" w:cs="Times New Roman" w:eastAsia="Times New Roman" w:hAnsi="Times New Roman"/>
          <w:sz w:val="22"/>
          <w:szCs w:val="22"/>
          <w:color w:val="auto"/>
        </w:rPr>
      </w:pPr>
    </w:p>
    <w:p>
      <w:pPr>
        <w:ind w:left="760" w:firstLine="745"/>
        <w:spacing w:after="0" w:line="244" w:lineRule="auto"/>
        <w:tabs>
          <w:tab w:leader="none" w:pos="20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clause (1) above; any exchange of a Global Note for other Securities may be made in whole or in part, and all Securities issued in exchange for a Global Note or any portion thereof shall be registered in such names as the Depositary for such Global Note shall direct.</w:t>
      </w:r>
    </w:p>
    <w:p>
      <w:pPr>
        <w:spacing w:after="0" w:line="172" w:lineRule="exact"/>
        <w:rPr>
          <w:rFonts w:ascii="Times New Roman" w:cs="Times New Roman" w:eastAsia="Times New Roman" w:hAnsi="Times New Roman"/>
          <w:sz w:val="22"/>
          <w:szCs w:val="22"/>
          <w:color w:val="auto"/>
        </w:rPr>
      </w:pPr>
    </w:p>
    <w:p>
      <w:pPr>
        <w:ind w:left="760" w:right="80" w:firstLine="745"/>
        <w:spacing w:after="0" w:line="239" w:lineRule="auto"/>
        <w:tabs>
          <w:tab w:leader="none" w:pos="2048"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Every Security authenticated and delivered upon registration of transfer of, or in exchange for or in lieu of, a Global Note or any portion thereof, shall be authenticated and delivered in the form of, and shall be, a Global Note, unless such note is registered in the name of a Person other than the Depositary for such Global Note or a nominee thereof.</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83" w:lineRule="exact"/>
        <w:rPr>
          <w:sz w:val="20"/>
          <w:szCs w:val="20"/>
          <w:color w:val="auto"/>
        </w:rPr>
      </w:pPr>
    </w:p>
    <w:p>
      <w:pPr>
        <w:ind w:right="200"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2.03 </w:t>
      </w:r>
      <w:r>
        <w:rPr>
          <w:rFonts w:ascii="Times New Roman" w:cs="Times New Roman" w:eastAsia="Times New Roman" w:hAnsi="Times New Roman"/>
          <w:sz w:val="22"/>
          <w:szCs w:val="22"/>
          <w:u w:val="single" w:color="auto"/>
          <w:color w:val="auto"/>
        </w:rPr>
        <w:t>Terms and Conditions of the Notes</w:t>
      </w:r>
      <w:r>
        <w:rPr>
          <w:rFonts w:ascii="Times New Roman" w:cs="Times New Roman" w:eastAsia="Times New Roman" w:hAnsi="Times New Roman"/>
          <w:sz w:val="22"/>
          <w:szCs w:val="22"/>
          <w:color w:val="auto"/>
        </w:rPr>
        <w:t>. The Notes shall be governed by all the terms and conditions of the Base Indenture, as supplemented or modified by this Fifth Supplemental Indenture. In particular, the following provisions shall be terms of the Notes:</w:t>
      </w:r>
    </w:p>
    <w:p>
      <w:pPr>
        <w:spacing w:after="0" w:line="172" w:lineRule="exact"/>
        <w:rPr>
          <w:sz w:val="20"/>
          <w:szCs w:val="20"/>
          <w:color w:val="auto"/>
        </w:rPr>
      </w:pPr>
    </w:p>
    <w:p>
      <w:pPr>
        <w:ind w:right="100" w:firstLine="1505"/>
        <w:spacing w:after="0" w:line="258" w:lineRule="auto"/>
        <w:tabs>
          <w:tab w:leader="none" w:pos="2037"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Title and Aggregate Principal Amount</w:t>
      </w:r>
      <w:r>
        <w:rPr>
          <w:rFonts w:ascii="Times New Roman" w:cs="Times New Roman" w:eastAsia="Times New Roman" w:hAnsi="Times New Roman"/>
          <w:sz w:val="22"/>
          <w:szCs w:val="22"/>
          <w:color w:val="auto"/>
        </w:rPr>
        <w:t>. The title of the Notes shall be as specified in the Recitals; and the aggregate principal amount of the Notes shall be as specified in Section 2.01 of this Article Two.</w:t>
      </w:r>
    </w:p>
    <w:p>
      <w:pPr>
        <w:spacing w:after="0" w:line="157" w:lineRule="exact"/>
        <w:rPr>
          <w:rFonts w:ascii="Times New Roman" w:cs="Times New Roman" w:eastAsia="Times New Roman" w:hAnsi="Times New Roman"/>
          <w:sz w:val="22"/>
          <w:szCs w:val="22"/>
          <w:u w:val="single" w:color="auto"/>
          <w:color w:val="auto"/>
        </w:rPr>
      </w:pPr>
    </w:p>
    <w:p>
      <w:pPr>
        <w:ind w:right="280" w:firstLine="1505"/>
        <w:spacing w:after="0" w:line="258" w:lineRule="auto"/>
        <w:tabs>
          <w:tab w:leader="none" w:pos="2037"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Stated Maturity</w:t>
      </w:r>
      <w:r>
        <w:rPr>
          <w:rFonts w:ascii="Times New Roman" w:cs="Times New Roman" w:eastAsia="Times New Roman" w:hAnsi="Times New Roman"/>
          <w:sz w:val="22"/>
          <w:szCs w:val="22"/>
          <w:color w:val="auto"/>
        </w:rPr>
        <w:t>. The Notes shall mature, and the unpaid principal thereon shall be payable, on June 11, 2034 (the “Maturity Date”), subject to the provisions of the Base Indenture and Article Three and Article Four below.</w:t>
      </w:r>
    </w:p>
    <w:p>
      <w:pPr>
        <w:spacing w:after="0" w:line="157" w:lineRule="exact"/>
        <w:rPr>
          <w:rFonts w:ascii="Times New Roman" w:cs="Times New Roman" w:eastAsia="Times New Roman" w:hAnsi="Times New Roman"/>
          <w:sz w:val="22"/>
          <w:szCs w:val="22"/>
          <w:u w:val="single" w:color="auto"/>
          <w:color w:val="auto"/>
        </w:rPr>
      </w:pPr>
    </w:p>
    <w:p>
      <w:pPr>
        <w:ind w:right="60" w:firstLine="1505"/>
        <w:spacing w:after="0" w:line="233" w:lineRule="auto"/>
        <w:tabs>
          <w:tab w:leader="none" w:pos="2037"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Interest</w:t>
      </w:r>
      <w:r>
        <w:rPr>
          <w:rFonts w:ascii="Times New Roman" w:cs="Times New Roman" w:eastAsia="Times New Roman" w:hAnsi="Times New Roman"/>
          <w:sz w:val="22"/>
          <w:szCs w:val="22"/>
          <w:color w:val="auto"/>
        </w:rPr>
        <w:t>. The rate per annum at which interest shall be payable on the Notes shall be 5.650%. Interest on the Notes shall be payable semi-annually in arrears on each June 11 and December 11, beginning December 11, 2024 (each, an “Interest Payment Date”), to the Persons in whose names the Notes are registered in the Security Register applicable to the Notes at the close of business on the immediately preceding May 27 or November 26, respectively, prior to the applicable Interest Payment Date regardless of whether such day is a Business Day (each, a “Regular Record Date”). Interest on the Notes shall be computed on the basis of a 360-day year consisting of twelve 30-day months. Interest on the Notes shall accrue from and including June 11, 2024. If an Interest Payment Date or the Maturity Date falls on a day that is not a Business Day, the payment shall be made on the next Business Day as if it were made on the date the payment was due, and no interest shall accrue on the amount so payable for the period from and after that Interest Payment Date or the Maturity Date, as the case may be, to the date the payment is made. Interest payments shall include accrued interest from and including the date of issue or from and including the last date in respect to which interest has been paid, as the case may be, to, but excluding, the Interest Payment Date or the Maturity Date, as the case may be.</w:t>
      </w:r>
    </w:p>
    <w:p>
      <w:pPr>
        <w:spacing w:after="0" w:line="181" w:lineRule="exact"/>
        <w:rPr>
          <w:rFonts w:ascii="Times New Roman" w:cs="Times New Roman" w:eastAsia="Times New Roman" w:hAnsi="Times New Roman"/>
          <w:sz w:val="22"/>
          <w:szCs w:val="22"/>
          <w:u w:val="single" w:color="auto"/>
          <w:color w:val="auto"/>
        </w:rPr>
      </w:pPr>
    </w:p>
    <w:p>
      <w:pPr>
        <w:ind w:firstLine="1505"/>
        <w:spacing w:after="0" w:line="239" w:lineRule="auto"/>
        <w:tabs>
          <w:tab w:leader="none" w:pos="2037"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Registration and Form</w:t>
      </w:r>
      <w:r>
        <w:rPr>
          <w:rFonts w:ascii="Times New Roman" w:cs="Times New Roman" w:eastAsia="Times New Roman" w:hAnsi="Times New Roman"/>
          <w:sz w:val="22"/>
          <w:szCs w:val="22"/>
          <w:color w:val="auto"/>
        </w:rPr>
        <w:t>. The Notes shall be issuable as Registered Securities as provided in Section 2.02 of this Article Two. The Notes shall be issued and may be transferred only in minimum denominations of $2,000 and integral multiples of $1,000 in excess thereof. All payments of principal, Redemption Price and accrued unpaid interest in respect of the Notes shall be made by the Company in immediately available funds.</w:t>
      </w:r>
    </w:p>
    <w:p>
      <w:pPr>
        <w:spacing w:after="0" w:line="178" w:lineRule="exact"/>
        <w:rPr>
          <w:rFonts w:ascii="Times New Roman" w:cs="Times New Roman" w:eastAsia="Times New Roman" w:hAnsi="Times New Roman"/>
          <w:sz w:val="22"/>
          <w:szCs w:val="22"/>
          <w:u w:val="single" w:color="auto"/>
          <w:color w:val="auto"/>
        </w:rPr>
      </w:pPr>
    </w:p>
    <w:p>
      <w:pPr>
        <w:ind w:right="240" w:firstLine="1505"/>
        <w:spacing w:after="0" w:line="307" w:lineRule="auto"/>
        <w:tabs>
          <w:tab w:leader="none" w:pos="2037" w:val="left"/>
        </w:tabs>
        <w:numPr>
          <w:ilvl w:val="0"/>
          <w:numId w:val="3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Defeasance and Covenant Defeasance</w:t>
      </w:r>
      <w:r>
        <w:rPr>
          <w:rFonts w:ascii="Times New Roman" w:cs="Times New Roman" w:eastAsia="Times New Roman" w:hAnsi="Times New Roman"/>
          <w:sz w:val="20"/>
          <w:szCs w:val="20"/>
          <w:color w:val="auto"/>
        </w:rPr>
        <w:t>. The provisions for defeasance in Section 402(2) of the Base Indenture, and the provisions for covenant defeasance in Section 402(3) of the Base Indenture, shall be applicable to the Notes.</w:t>
      </w:r>
    </w:p>
    <w:p>
      <w:pPr>
        <w:spacing w:after="0" w:line="112" w:lineRule="exact"/>
        <w:rPr>
          <w:rFonts w:ascii="Times New Roman" w:cs="Times New Roman" w:eastAsia="Times New Roman" w:hAnsi="Times New Roman"/>
          <w:sz w:val="20"/>
          <w:szCs w:val="20"/>
          <w:u w:val="single" w:color="auto"/>
          <w:color w:val="auto"/>
        </w:rPr>
      </w:pPr>
    </w:p>
    <w:p>
      <w:pPr>
        <w:ind w:right="20" w:firstLine="1505"/>
        <w:spacing w:after="0" w:line="237" w:lineRule="auto"/>
        <w:tabs>
          <w:tab w:leader="none" w:pos="2037"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Further Issues</w:t>
      </w:r>
      <w:r>
        <w:rPr>
          <w:rFonts w:ascii="Times New Roman" w:cs="Times New Roman" w:eastAsia="Times New Roman" w:hAnsi="Times New Roman"/>
          <w:sz w:val="22"/>
          <w:szCs w:val="22"/>
          <w:color w:val="auto"/>
        </w:rPr>
        <w:t>. Notwithstanding anything to the contrary contained herein or in the Base Indenture, the Company may, from time to time, without notice to, or the consent of, the Holders, create and issue additional securities having the same ranking and terms and conditions as the Initial Notes in all respects, except for issue date, the public offering price and the date on which interest will begin to accrue. Additional Notes issued in this manner shall be consolidated with and shall form a single series with the Initial Notes and be treated as a single class for all purposes under this Indenture.</w:t>
      </w:r>
    </w:p>
    <w:p>
      <w:pPr>
        <w:spacing w:after="0" w:line="3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2" w:name="page53"/>
    <w:bookmarkEnd w:id="52"/>
    <w:p>
      <w:pPr>
        <w:spacing w:after="0" w:line="183" w:lineRule="exact"/>
        <w:rPr>
          <w:sz w:val="20"/>
          <w:szCs w:val="20"/>
          <w:color w:val="auto"/>
        </w:rPr>
      </w:pPr>
    </w:p>
    <w:p>
      <w:pPr>
        <w:ind w:right="20" w:firstLine="749"/>
        <w:spacing w:after="0" w:line="307" w:lineRule="auto"/>
        <w:rPr>
          <w:sz w:val="20"/>
          <w:szCs w:val="20"/>
          <w:color w:val="auto"/>
        </w:rPr>
      </w:pPr>
      <w:r>
        <w:rPr>
          <w:rFonts w:ascii="Times New Roman" w:cs="Times New Roman" w:eastAsia="Times New Roman" w:hAnsi="Times New Roman"/>
          <w:sz w:val="20"/>
          <w:szCs w:val="20"/>
          <w:color w:val="auto"/>
        </w:rPr>
        <w:t>With respect to any Additional Notes, in addition to any other requirements set forth in the Base Indenture, the Company shall set forth in an Officers’ Certificate, a copy of which shall be delivered to the Trustee, the following information:</w:t>
      </w:r>
    </w:p>
    <w:p>
      <w:pPr>
        <w:spacing w:after="0" w:line="113" w:lineRule="exact"/>
        <w:rPr>
          <w:sz w:val="20"/>
          <w:szCs w:val="20"/>
          <w:color w:val="auto"/>
        </w:rPr>
      </w:pPr>
    </w:p>
    <w:p>
      <w:pPr>
        <w:ind w:left="760" w:right="60" w:firstLine="1494"/>
        <w:spacing w:after="0" w:line="258" w:lineRule="auto"/>
        <w:tabs>
          <w:tab w:leader="none" w:pos="255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principal amount of such Additional Notes to be authenticated and delivered pursuant to this Fifth Supplemental Indenture;</w:t>
      </w:r>
    </w:p>
    <w:p>
      <w:pPr>
        <w:spacing w:after="0" w:line="153" w:lineRule="exact"/>
        <w:rPr>
          <w:rFonts w:ascii="Times New Roman" w:cs="Times New Roman" w:eastAsia="Times New Roman" w:hAnsi="Times New Roman"/>
          <w:sz w:val="22"/>
          <w:szCs w:val="22"/>
          <w:color w:val="auto"/>
        </w:rPr>
      </w:pPr>
    </w:p>
    <w:p>
      <w:pPr>
        <w:ind w:left="760" w:right="140" w:firstLine="1494"/>
        <w:spacing w:after="0" w:line="246" w:lineRule="auto"/>
        <w:tabs>
          <w:tab w:leader="none" w:pos="2557"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issue price, the issue date and the CUSIP number of such Additional Notes;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no Additional Notes may be issued at a price that would cause such Additional Notes to have “original issue discount” within the meaning of Section 1273 of the Code; and</w:t>
      </w:r>
    </w:p>
    <w:p>
      <w:pPr>
        <w:spacing w:after="0" w:line="170" w:lineRule="exact"/>
        <w:rPr>
          <w:sz w:val="20"/>
          <w:szCs w:val="20"/>
          <w:color w:val="auto"/>
        </w:rPr>
      </w:pPr>
    </w:p>
    <w:p>
      <w:pPr>
        <w:ind w:left="760" w:right="360" w:firstLine="1498"/>
        <w:spacing w:after="0" w:line="258" w:lineRule="auto"/>
        <w:rPr>
          <w:sz w:val="20"/>
          <w:szCs w:val="20"/>
          <w:color w:val="auto"/>
        </w:rPr>
      </w:pPr>
      <w:r>
        <w:rPr>
          <w:rFonts w:ascii="Times New Roman" w:cs="Times New Roman" w:eastAsia="Times New Roman" w:hAnsi="Times New Roman"/>
          <w:sz w:val="22"/>
          <w:szCs w:val="22"/>
          <w:color w:val="auto"/>
        </w:rPr>
        <w:t>(iii)whether such Additional Notes will be issued in global form and whether and to what extent the Additional Notes will contain additional legends.</w:t>
      </w:r>
    </w:p>
    <w:p>
      <w:pPr>
        <w:spacing w:after="0" w:line="157" w:lineRule="exact"/>
        <w:rPr>
          <w:sz w:val="20"/>
          <w:szCs w:val="20"/>
          <w:color w:val="auto"/>
        </w:rPr>
      </w:pPr>
    </w:p>
    <w:p>
      <w:pPr>
        <w:ind w:right="420" w:firstLine="1505"/>
        <w:spacing w:after="0" w:line="258" w:lineRule="auto"/>
        <w:tabs>
          <w:tab w:leader="none" w:pos="2037" w:val="left"/>
        </w:tabs>
        <w:numPr>
          <w:ilvl w:val="0"/>
          <w:numId w:val="3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Other Terms and Conditions</w:t>
      </w:r>
      <w:r>
        <w:rPr>
          <w:rFonts w:ascii="Times New Roman" w:cs="Times New Roman" w:eastAsia="Times New Roman" w:hAnsi="Times New Roman"/>
          <w:sz w:val="22"/>
          <w:szCs w:val="22"/>
          <w:color w:val="auto"/>
        </w:rPr>
        <w:t xml:space="preserve">. The Notes shall have such other terms and conditions as provided in the form thereof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right="20" w:firstLine="749"/>
        <w:spacing w:after="0" w:line="246" w:lineRule="auto"/>
        <w:rPr>
          <w:sz w:val="20"/>
          <w:szCs w:val="20"/>
          <w:color w:val="auto"/>
        </w:rPr>
      </w:pPr>
      <w:r>
        <w:rPr>
          <w:rFonts w:ascii="Times New Roman" w:cs="Times New Roman" w:eastAsia="Times New Roman" w:hAnsi="Times New Roman"/>
          <w:sz w:val="22"/>
          <w:szCs w:val="22"/>
          <w:color w:val="auto"/>
        </w:rPr>
        <w:t xml:space="preserve">SECTION 2.04 </w:t>
      </w:r>
      <w:r>
        <w:rPr>
          <w:rFonts w:ascii="Times New Roman" w:cs="Times New Roman" w:eastAsia="Times New Roman" w:hAnsi="Times New Roman"/>
          <w:sz w:val="22"/>
          <w:szCs w:val="22"/>
          <w:u w:val="single" w:color="auto"/>
          <w:color w:val="auto"/>
        </w:rPr>
        <w:t>Ranking</w:t>
      </w:r>
      <w:r>
        <w:rPr>
          <w:rFonts w:ascii="Times New Roman" w:cs="Times New Roman" w:eastAsia="Times New Roman" w:hAnsi="Times New Roman"/>
          <w:sz w:val="22"/>
          <w:szCs w:val="22"/>
          <w:color w:val="auto"/>
        </w:rPr>
        <w:t xml:space="preserve">. The Notes shall be senior unsecured obligations of the Company. The Notes shall rank </w:t>
      </w:r>
      <w:r>
        <w:rPr>
          <w:rFonts w:ascii="Times New Roman" w:cs="Times New Roman" w:eastAsia="Times New Roman" w:hAnsi="Times New Roman"/>
          <w:sz w:val="22"/>
          <w:szCs w:val="22"/>
          <w:i w:val="1"/>
          <w:iCs w:val="1"/>
          <w:color w:val="auto"/>
        </w:rPr>
        <w:t>pari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 xml:space="preserve">passu </w:t>
      </w:r>
      <w:r>
        <w:rPr>
          <w:rFonts w:ascii="Times New Roman" w:cs="Times New Roman" w:eastAsia="Times New Roman" w:hAnsi="Times New Roman"/>
          <w:sz w:val="22"/>
          <w:szCs w:val="22"/>
          <w:color w:val="auto"/>
        </w:rPr>
        <w:t>in right of payment with all other senior unsecured indebtedness, including, without limitation, any unsecured senior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indebtedness, of the Company and senior in right of payment to all subordinated indebtedness of the Company.</w:t>
      </w:r>
    </w:p>
    <w:p>
      <w:pPr>
        <w:spacing w:after="0" w:line="170"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2.05</w:t>
      </w:r>
      <w:r>
        <w:rPr>
          <w:sz w:val="20"/>
          <w:szCs w:val="20"/>
          <w:color w:val="auto"/>
        </w:rPr>
        <w:tab/>
      </w:r>
      <w:r>
        <w:rPr>
          <w:rFonts w:ascii="Times New Roman" w:cs="Times New Roman" w:eastAsia="Times New Roman" w:hAnsi="Times New Roman"/>
          <w:sz w:val="20"/>
          <w:szCs w:val="20"/>
          <w:u w:val="single" w:color="auto"/>
          <w:color w:val="auto"/>
        </w:rPr>
        <w:t>Sinking Fund</w:t>
      </w:r>
      <w:r>
        <w:rPr>
          <w:rFonts w:ascii="Times New Roman" w:cs="Times New Roman" w:eastAsia="Times New Roman" w:hAnsi="Times New Roman"/>
          <w:sz w:val="20"/>
          <w:szCs w:val="20"/>
          <w:color w:val="auto"/>
        </w:rPr>
        <w:t>. The Notes shall not be entitled to any sinking fund.</w:t>
      </w:r>
    </w:p>
    <w:p>
      <w:pPr>
        <w:spacing w:after="0" w:line="205" w:lineRule="exact"/>
        <w:rPr>
          <w:sz w:val="20"/>
          <w:szCs w:val="20"/>
          <w:color w:val="auto"/>
        </w:rPr>
      </w:pPr>
    </w:p>
    <w:p>
      <w:pPr>
        <w:ind w:right="40" w:firstLine="749"/>
        <w:spacing w:after="0" w:line="264" w:lineRule="auto"/>
        <w:rPr>
          <w:sz w:val="20"/>
          <w:szCs w:val="20"/>
          <w:color w:val="auto"/>
        </w:rPr>
      </w:pPr>
      <w:r>
        <w:rPr>
          <w:rFonts w:ascii="Times New Roman" w:cs="Times New Roman" w:eastAsia="Times New Roman" w:hAnsi="Times New Roman"/>
          <w:sz w:val="20"/>
          <w:szCs w:val="20"/>
          <w:color w:val="auto"/>
        </w:rPr>
        <w:t xml:space="preserve">SECTION 2.06 </w:t>
      </w:r>
      <w:r>
        <w:rPr>
          <w:rFonts w:ascii="Times New Roman" w:cs="Times New Roman" w:eastAsia="Times New Roman" w:hAnsi="Times New Roman"/>
          <w:sz w:val="20"/>
          <w:szCs w:val="20"/>
          <w:u w:val="single" w:color="auto"/>
          <w:color w:val="auto"/>
        </w:rPr>
        <w:t>Place of Payment</w:t>
      </w:r>
      <w:r>
        <w:rPr>
          <w:rFonts w:ascii="Times New Roman" w:cs="Times New Roman" w:eastAsia="Times New Roman" w:hAnsi="Times New Roman"/>
          <w:sz w:val="20"/>
          <w:szCs w:val="20"/>
          <w:color w:val="auto"/>
        </w:rPr>
        <w:t>. The Place of Payment in respect of the Notes will be at the office or agency of the Company in The City of New York, State of New York or at the office or agency of the Paying Agent in The City of New York, State of New York. The Company initially appoints the Trustee such office or agency. The Company will give to the Trustee notice of the location of each such office or agency and of any change of location thereof. In case the Company shall fail to maintain any such office or agency or shall fail to give such notice of the location or of any change in the location thereof, presentations, notices and demands may be made at the office or agency of the Trustee in The City and State of New York.</w:t>
      </w:r>
    </w:p>
    <w:p>
      <w:pPr>
        <w:spacing w:after="0" w:line="154"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2.07</w:t>
      </w:r>
      <w:r>
        <w:rPr>
          <w:sz w:val="20"/>
          <w:szCs w:val="20"/>
          <w:color w:val="auto"/>
        </w:rPr>
        <w:tab/>
      </w:r>
      <w:r>
        <w:rPr>
          <w:rFonts w:ascii="Times New Roman" w:cs="Times New Roman" w:eastAsia="Times New Roman" w:hAnsi="Times New Roman"/>
          <w:sz w:val="20"/>
          <w:szCs w:val="20"/>
          <w:u w:val="single" w:color="auto"/>
          <w:color w:val="auto"/>
        </w:rPr>
        <w:t>Transfer and Exchange</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firstLine="1505"/>
        <w:spacing w:after="0" w:line="234" w:lineRule="auto"/>
        <w:tabs>
          <w:tab w:leader="none" w:pos="203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transfer and exchange of beneficial interests in the Global Notes shall be effected through the Depositary, in accordance with the provisions of the Base Indenture, this Fifth Supplemental Indenture and the then applicable procedures of the Depositary (the “Applicable Procedures”). In connection with all transfers and exchanges of beneficial interests, the transferor of such beneficial interest must deliver to the Trustee either (A)(l) 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 (2) instructions given in accordance with the Applicable Procedures containing information regarding the Participant account to be credited with such increase or, if Definitive Notes are at such time permitted to be issued pursuant to this Fifth Supplemental Indenture and the Base Indenture, (B)(l) a written order from a Participant or an Indirect Participant given to</w:t>
      </w: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3" w:name="page54"/>
    <w:bookmarkEnd w:id="53"/>
    <w:p>
      <w:pPr>
        <w:spacing w:after="0" w:line="183"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the Depositary in accordance with the Applicable Procedures directing the Depositary to cause to be issued a Definitive Note in an amount equal to the beneficial interest to be transferred or exchanged and (2) instructions given by the Depositary to the Security Registrar containing information regarding the Person in whose name such Definitive Note shall be registered to effect the transfer or exchange referred to in (1) above. Upon satisfaction of all of the requirements for transfer or exchange of beneficial interests in Global Notes contained in the Base Indenture, this Fifth Supplemental Indenture and the Notes or otherwise applicable under the Securities Act, the Security Registrar shall adjust the principal amount of the relevant Global Notes pursuant to Section 2.08 hereof.</w:t>
      </w:r>
    </w:p>
    <w:p>
      <w:pPr>
        <w:spacing w:after="0" w:line="181" w:lineRule="exact"/>
        <w:rPr>
          <w:sz w:val="20"/>
          <w:szCs w:val="20"/>
          <w:color w:val="auto"/>
        </w:rPr>
      </w:pPr>
    </w:p>
    <w:p>
      <w:pPr>
        <w:ind w:firstLine="1505"/>
        <w:spacing w:after="0" w:line="233" w:lineRule="auto"/>
        <w:tabs>
          <w:tab w:leader="none" w:pos="203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request by a Holder of Definitive Notes and such Holder’s compliance with the provisions of this Section 2.07(b), the Security Registrar shall register the transfer or exchange of Definitive Notes. Prior to such registration of transfer or exchange, the requesting Holder shall present or surrender to the Trustee the Definitive Notes duly endorsed or accompanied by a written instruction of transfer in form satisfactory to the Security Registrar duly executed by such Holder or by its attorney, duly authorized in writing. The Trustee shall cancel any such Definitive Notes so surrendered, and the Company shall execute and, upon receipt of a Company Order pursuant to Section 303 of the Base Indenture, the Trustee shall authenticate and deliver to the Person designated in the instructions a new Definitive Note in the appropriate principal amount. Any Definitive Note issued pursuant to this Section 2.07(b) shall be registered in such name or names and in such authorized denomination or denominations as the Holder of such beneficial interest shall instruct the Security Registrar through instructions from the Depositary and the Participant or Indirect Participant. The Trustee shall deliver such Definitive Notes to the Persons in whose names such Definitive Notes are so registered. In addition, the requesting Holder shall provide any additional certifications, documents and information, as applicable, required pursuant to Section 305 of the Base Indenture.</w:t>
      </w:r>
    </w:p>
    <w:p>
      <w:pPr>
        <w:spacing w:after="0" w:line="181" w:lineRule="exact"/>
        <w:rPr>
          <w:sz w:val="20"/>
          <w:szCs w:val="20"/>
          <w:color w:val="auto"/>
        </w:rPr>
      </w:pPr>
    </w:p>
    <w:p>
      <w:pPr>
        <w:ind w:right="40" w:firstLine="749"/>
        <w:spacing w:after="0" w:line="233"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u w:val="single" w:color="auto"/>
          <w:color w:val="auto"/>
        </w:rPr>
        <w:t>Cancellation and/or Adjustment of Global Notes</w:t>
      </w:r>
      <w:r>
        <w:rPr>
          <w:rFonts w:ascii="Times New Roman" w:cs="Times New Roman" w:eastAsia="Times New Roman" w:hAnsi="Times New Roman"/>
          <w:sz w:val="22"/>
          <w:szCs w:val="22"/>
          <w:color w:val="auto"/>
        </w:rPr>
        <w:t>. At such time as all beneficial interests in a particular Global Note have been exchanged for Definitive Notes or a particular Global Note has been redeemed, repurchased or cancelled in whole and not in part, each such Global Note shall be returned to or retained and cancelled by the Trustee in accordance with Section 309 of the Base Indenture. At any time prior to such cancellation, if any beneficial interest in a Global Note is exchanged for or transferred to a Person who will take delivery thereof in the form of a beneficial interest in another Global Note or for Definitive Notes, the principal amount of Securities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Security Registrar or by the Depositary at the direction of the Security Registrar to reflect such increase.</w:t>
      </w: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4" w:name="page55"/>
    <w:bookmarkEnd w:id="54"/>
    <w:p>
      <w:pPr>
        <w:spacing w:after="0" w:line="1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ARTICLE THREE</w:t>
      </w:r>
    </w:p>
    <w:p>
      <w:pPr>
        <w:spacing w:after="0" w:line="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REDEMPTION OF THE NOTES</w:t>
      </w:r>
    </w:p>
    <w:p>
      <w:pPr>
        <w:spacing w:after="0" w:line="181"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3.01</w:t>
      </w:r>
      <w:r>
        <w:rPr>
          <w:sz w:val="20"/>
          <w:szCs w:val="20"/>
          <w:color w:val="auto"/>
        </w:rPr>
        <w:tab/>
      </w:r>
      <w:r>
        <w:rPr>
          <w:rFonts w:ascii="Times New Roman" w:cs="Times New Roman" w:eastAsia="Times New Roman" w:hAnsi="Times New Roman"/>
          <w:sz w:val="20"/>
          <w:szCs w:val="20"/>
          <w:u w:val="single" w:color="auto"/>
          <w:color w:val="auto"/>
        </w:rPr>
        <w:t>Optional Redemption by Company</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firstLine="1505"/>
        <w:spacing w:after="0" w:line="280" w:lineRule="auto"/>
        <w:tabs>
          <w:tab w:leader="none" w:pos="2037"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March 11, 2034 (three months before the Maturity Date of the Notes) (the “Par Call Date”), the Company may redeem the Notes, at its option, in whole or in part, at any time and from time to time, at a redemption price (the “Redemption Price”) (expressed as a percentage of principal amount and rounded to three decimal places) equal to the greater of:</w:t>
      </w:r>
    </w:p>
    <w:p>
      <w:pPr>
        <w:spacing w:after="0" w:line="138" w:lineRule="exact"/>
        <w:rPr>
          <w:rFonts w:ascii="Times New Roman" w:cs="Times New Roman" w:eastAsia="Times New Roman" w:hAnsi="Times New Roman"/>
          <w:sz w:val="20"/>
          <w:szCs w:val="20"/>
          <w:color w:val="auto"/>
        </w:rPr>
      </w:pPr>
    </w:p>
    <w:p>
      <w:pPr>
        <w:ind w:left="760" w:right="100" w:firstLine="1494"/>
        <w:spacing w:after="0" w:line="239" w:lineRule="auto"/>
        <w:tabs>
          <w:tab w:leader="none" w:pos="2557"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25 basis points less (2) interest accrued to the Redemption Date, and</w:t>
      </w:r>
    </w:p>
    <w:p>
      <w:pPr>
        <w:spacing w:after="0" w:line="178" w:lineRule="exact"/>
        <w:rPr>
          <w:rFonts w:ascii="Times New Roman" w:cs="Times New Roman" w:eastAsia="Times New Roman" w:hAnsi="Times New Roman"/>
          <w:sz w:val="22"/>
          <w:szCs w:val="22"/>
          <w:color w:val="auto"/>
        </w:rPr>
      </w:pPr>
    </w:p>
    <w:p>
      <w:pPr>
        <w:ind w:left="2560" w:hanging="306"/>
        <w:spacing w:after="0"/>
        <w:tabs>
          <w:tab w:leader="none" w:pos="2560" w:val="left"/>
        </w:tabs>
        <w:numPr>
          <w:ilvl w:val="1"/>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100% of the principal amount of the Notes to be redeemed,</w:t>
      </w:r>
    </w:p>
    <w:p>
      <w:pPr>
        <w:spacing w:after="0" w:line="20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plus, in either case, accrued and unpaid interest thereon, if any, to the Redemption Date.</w:t>
      </w:r>
    </w:p>
    <w:p>
      <w:pPr>
        <w:spacing w:after="0" w:line="205"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2"/>
          <w:szCs w:val="22"/>
          <w:color w:val="auto"/>
        </w:rPr>
        <w:t>On or after the Par Call Date, the Company may redeem the Notes, in whole or in part, at any time and from time to time, at a Redemption Price equal to 100% of the principal amount of the Notes to be redeemed, plus accrued and unpaid interest thereon, if any, to the Redemption Date.</w:t>
      </w:r>
    </w:p>
    <w:p>
      <w:pPr>
        <w:spacing w:after="0" w:line="172" w:lineRule="exact"/>
        <w:rPr>
          <w:sz w:val="20"/>
          <w:szCs w:val="20"/>
          <w:color w:val="auto"/>
        </w:rPr>
      </w:pPr>
    </w:p>
    <w:p>
      <w:pPr>
        <w:jc w:val="both"/>
        <w:ind w:right="80" w:firstLine="1505"/>
        <w:spacing w:after="0" w:line="239" w:lineRule="auto"/>
        <w:tabs>
          <w:tab w:leader="none" w:pos="203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actions and determinations in determining the Redemption Price shall be conclusive and binding for all purposes, absent manifest error. The Company will notify the Trustee of the Redemption Price promptly after the calculation thereof and the Trustee shall not be responsible or liable for any calculation of the Redemption Price or of any component thereof, or for determining whether manifest error has occurred.</w:t>
      </w:r>
    </w:p>
    <w:p>
      <w:pPr>
        <w:spacing w:after="0" w:line="178" w:lineRule="exact"/>
        <w:rPr>
          <w:rFonts w:ascii="Times New Roman" w:cs="Times New Roman" w:eastAsia="Times New Roman" w:hAnsi="Times New Roman"/>
          <w:sz w:val="22"/>
          <w:szCs w:val="22"/>
          <w:color w:val="auto"/>
        </w:rPr>
      </w:pPr>
    </w:p>
    <w:p>
      <w:pPr>
        <w:jc w:val="both"/>
        <w:ind w:right="260" w:firstLine="1505"/>
        <w:spacing w:after="0" w:line="244" w:lineRule="auto"/>
        <w:tabs>
          <w:tab w:leader="none" w:pos="203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Notices under this optional redemption section will be mailed or electronically delivered (or otherwise transmitted in accordance with the Depositary’s procedures) at least 10 days but not more than 60 days before the Redemption Date to each Holder of Notes to be redeemed.</w:t>
      </w:r>
    </w:p>
    <w:p>
      <w:pPr>
        <w:spacing w:after="0" w:line="172" w:lineRule="exact"/>
        <w:rPr>
          <w:rFonts w:ascii="Times New Roman" w:cs="Times New Roman" w:eastAsia="Times New Roman" w:hAnsi="Times New Roman"/>
          <w:sz w:val="22"/>
          <w:szCs w:val="22"/>
          <w:color w:val="auto"/>
        </w:rPr>
      </w:pPr>
    </w:p>
    <w:p>
      <w:pPr>
        <w:ind w:firstLine="1505"/>
        <w:spacing w:after="0" w:line="261" w:lineRule="auto"/>
        <w:tabs>
          <w:tab w:leader="none" w:pos="2037"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and after the Redemption Date of Notes of a series, interest will cease to accrue on such Notes or any portion thereof called for redemption, unless the Company defaults in the payment of the Redemption Price and accrued interest. On or before the Redemption Date, the Company will deposit with a Paying Agent, or the Trustee, money sufficient to pay the Redemption Price of and accrued interest on the Notes to be redeemed on such date. In the case of a partial redemption, selection of the Notes for redemption will be made pro rata, by lot or by such other method as the Trustee in its sole discretion deems appropriate and fair, in accordance with the policies and procedures of the Depositary. No Notes of a principal amount of $2,000 or less will be redeemed in part. If any Note is to be redeemed in part only, the notice of redemption that relates to the Note will state the portion of the principal amount of the Note to be redeemed. A new Note in a principal amount equal to the unredeemed</w:t>
      </w: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5" w:name="page56"/>
    <w:bookmarkEnd w:id="55"/>
    <w:p>
      <w:pPr>
        <w:spacing w:after="0" w:line="183" w:lineRule="exact"/>
        <w:rPr>
          <w:sz w:val="20"/>
          <w:szCs w:val="20"/>
          <w:color w:val="auto"/>
        </w:rPr>
      </w:pPr>
    </w:p>
    <w:p>
      <w:pPr>
        <w:jc w:val="both"/>
        <w:ind w:right="140"/>
        <w:spacing w:after="0" w:line="244" w:lineRule="auto"/>
        <w:rPr>
          <w:sz w:val="20"/>
          <w:szCs w:val="20"/>
          <w:color w:val="auto"/>
        </w:rPr>
      </w:pPr>
      <w:r>
        <w:rPr>
          <w:rFonts w:ascii="Times New Roman" w:cs="Times New Roman" w:eastAsia="Times New Roman" w:hAnsi="Times New Roman"/>
          <w:sz w:val="22"/>
          <w:szCs w:val="22"/>
          <w:color w:val="auto"/>
        </w:rPr>
        <w:t>portion of the Note will be issued in the name of the holder of the Note upon surrender for cancellation of the original Note. For so long as the Notes are held by DTC (or another Depositary), the redemption of the Notes shall be done in accordance with the policies and procedures of the Depositary.</w:t>
      </w:r>
    </w:p>
    <w:p>
      <w:pPr>
        <w:spacing w:after="0" w:line="172" w:lineRule="exact"/>
        <w:rPr>
          <w:sz w:val="20"/>
          <w:szCs w:val="20"/>
          <w:color w:val="auto"/>
        </w:rPr>
      </w:pPr>
    </w:p>
    <w:p>
      <w:pPr>
        <w:ind w:firstLine="1505"/>
        <w:spacing w:after="0" w:line="244" w:lineRule="auto"/>
        <w:tabs>
          <w:tab w:leader="none" w:pos="203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set forth in this Article III, the terms and conditions upon which and the manner in which the Notes may be redeemed by the Company pursuant to this Article III are governed by the provisions of Article XI of the Base Indenture.</w:t>
      </w:r>
    </w:p>
    <w:p>
      <w:pPr>
        <w:spacing w:after="0" w:line="172" w:lineRule="exact"/>
        <w:rPr>
          <w:rFonts w:ascii="Times New Roman" w:cs="Times New Roman" w:eastAsia="Times New Roman" w:hAnsi="Times New Roman"/>
          <w:sz w:val="22"/>
          <w:szCs w:val="22"/>
          <w:color w:val="auto"/>
        </w:rPr>
      </w:pPr>
    </w:p>
    <w:p>
      <w:pPr>
        <w:ind w:right="160" w:firstLine="1505"/>
        <w:spacing w:after="0" w:line="237" w:lineRule="auto"/>
        <w:tabs>
          <w:tab w:leader="none" w:pos="203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subsection (a), installments of interest on the Notes that are due and payable on any Interest Payment Date falling on or prior to a Redemption Date shall be payable on such Interest Payment Date to the registered Holders as of the close of business on the relevant Regular Record Date according to the terms of the Notes and the Indenture. Unless the Company defaults in payment of the Redemption Price, on and after the Redemption Date interest shall cease to accrue on any Notes or portions thereof that are called for redemption.</w:t>
      </w:r>
    </w:p>
    <w:p>
      <w:pPr>
        <w:spacing w:after="0" w:line="180" w:lineRule="exact"/>
        <w:rPr>
          <w:rFonts w:ascii="Times New Roman" w:cs="Times New Roman" w:eastAsia="Times New Roman" w:hAnsi="Times New Roman"/>
          <w:sz w:val="22"/>
          <w:szCs w:val="22"/>
          <w:color w:val="auto"/>
        </w:rPr>
      </w:pPr>
    </w:p>
    <w:p>
      <w:pPr>
        <w:ind w:right="120" w:firstLine="1505"/>
        <w:spacing w:after="0" w:line="258" w:lineRule="auto"/>
        <w:tabs>
          <w:tab w:leader="none" w:pos="203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Company’s right to redeem the Notes as set forth above, the Company may at any time and from time to time purchase Notes in open market transactions, tender offers or otherwise.</w:t>
      </w:r>
    </w:p>
    <w:p>
      <w:pPr>
        <w:spacing w:after="0" w:line="1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ARTICLE FOUR</w:t>
      </w:r>
    </w:p>
    <w:p>
      <w:pPr>
        <w:spacing w:after="0" w:line="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REMEDIES</w:t>
      </w:r>
    </w:p>
    <w:p>
      <w:pPr>
        <w:spacing w:after="0" w:line="181"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4.01</w:t>
      </w:r>
      <w:r>
        <w:rPr>
          <w:sz w:val="20"/>
          <w:szCs w:val="20"/>
          <w:color w:val="auto"/>
        </w:rPr>
        <w:tab/>
      </w:r>
      <w:r>
        <w:rPr>
          <w:rFonts w:ascii="Times New Roman" w:cs="Times New Roman" w:eastAsia="Times New Roman" w:hAnsi="Times New Roman"/>
          <w:sz w:val="20"/>
          <w:szCs w:val="20"/>
          <w:u w:val="single" w:color="auto"/>
          <w:color w:val="auto"/>
        </w:rPr>
        <w:t>Event of Default</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ind w:right="780" w:firstLine="1505"/>
        <w:spacing w:after="0" w:line="258" w:lineRule="auto"/>
        <w:tabs>
          <w:tab w:leader="none" w:pos="203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501 of the Base Indenture is hereby amended, solely with respect to the Notes, to add the following Event of Default:</w:t>
      </w:r>
    </w:p>
    <w:p>
      <w:pPr>
        <w:spacing w:after="0" w:line="157" w:lineRule="exact"/>
        <w:rPr>
          <w:sz w:val="20"/>
          <w:szCs w:val="20"/>
          <w:color w:val="auto"/>
        </w:rPr>
      </w:pPr>
    </w:p>
    <w:p>
      <w:pPr>
        <w:ind w:left="760" w:right="80" w:firstLine="745"/>
        <w:spacing w:after="0" w:line="239" w:lineRule="auto"/>
        <w:tabs>
          <w:tab w:leader="none" w:pos="2048"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default under any Indebtedness by the Company or any of its Subsidiaries that results in acceleration of the maturity of such Indebtedness, or failure to pay any such Indebtedness at maturity, in an aggregate amount greater than $50,000,000 or its foreign currency equivalent at the time, provided that the cure of such default shall remedy such Event of Default under this Section 4.01(a)(l).</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For the avoidance of doubt, all other provisions of Section 501 of the Base Indenture shall apply to the Notes.</w:t>
      </w:r>
    </w:p>
    <w:p>
      <w:pPr>
        <w:spacing w:after="0" w:line="201"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b w:val="1"/>
          <w:bCs w:val="1"/>
          <w:color w:val="auto"/>
        </w:rPr>
        <w:t>ARTICLE FIVE</w:t>
      </w:r>
    </w:p>
    <w:p>
      <w:pPr>
        <w:spacing w:after="0" w:line="1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b w:val="1"/>
          <w:bCs w:val="1"/>
          <w:color w:val="auto"/>
        </w:rPr>
        <w:t>CHANGE OF CONTROL</w:t>
      </w:r>
    </w:p>
    <w:p>
      <w:pPr>
        <w:spacing w:after="0" w:line="181" w:lineRule="exact"/>
        <w:rPr>
          <w:sz w:val="20"/>
          <w:szCs w:val="20"/>
          <w:color w:val="auto"/>
        </w:rPr>
      </w:pPr>
    </w:p>
    <w:p>
      <w:pPr>
        <w:ind w:left="760"/>
        <w:spacing w:after="0"/>
        <w:tabs>
          <w:tab w:leader="none" w:pos="246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0"/>
          <w:szCs w:val="20"/>
          <w:u w:val="single" w:color="auto"/>
          <w:color w:val="auto"/>
        </w:rPr>
        <w:t>Repurchase at the Option of Holders Upon Change of Control Triggering Event</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ind w:right="40" w:firstLine="1505"/>
        <w:spacing w:after="0" w:line="280" w:lineRule="auto"/>
        <w:tabs>
          <w:tab w:leader="none" w:pos="2037"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Change of Control Triggering Event occurs, unless the Company has exercised its right to redeem the Notes pursuant to the Indenture, the Company shall be required to make an offer to each Holder of the Notes to repurchase all or any part (in excess of $2,000 and in integral multiples of $1,000 principal amount) of that Holder’s Notes at a repurchase price</w:t>
      </w: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6" w:name="page57"/>
    <w:bookmarkEnd w:id="56"/>
    <w:p>
      <w:pPr>
        <w:spacing w:after="0" w:line="18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in cash equal to 101% of the aggregate principal amount of the Notes repurchased, plus any accrued and unpaid interest on the Notes repurchased to the date of repurchase.</w:t>
      </w:r>
    </w:p>
    <w:p>
      <w:pPr>
        <w:spacing w:after="0" w:line="157" w:lineRule="exact"/>
        <w:rPr>
          <w:sz w:val="20"/>
          <w:szCs w:val="20"/>
          <w:color w:val="auto"/>
        </w:rPr>
      </w:pPr>
    </w:p>
    <w:p>
      <w:pPr>
        <w:ind w:right="280" w:firstLine="1505"/>
        <w:spacing w:after="0" w:line="262" w:lineRule="auto"/>
        <w:tabs>
          <w:tab w:leader="none" w:pos="2037"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Within thirty (30) days following any Change of Control Triggering Event or, at the option of the Company, prior to any Change of Control, but after the public announcement of the pending Change of Control, the Company shall mail a notice to each Holder, with a copy to the Trustee, describing the transaction or transactions that constitute or may constitute the Change of Control Triggering Event and offering to repurchase the Notes on the payment date specified in the notice, which date shall be no earlier than thirty (30) days and no later than sixty (60) days from the date such notice is mailed. The notice shall, if mailed prior to the date of consummation of the Change of Control, state that the offer to repurchase is conditioned on the Change of Control Triggering Event occurring on or prior to the payment date specified in the notice.</w:t>
      </w:r>
    </w:p>
    <w:p>
      <w:pPr>
        <w:spacing w:after="0" w:line="157" w:lineRule="exact"/>
        <w:rPr>
          <w:rFonts w:ascii="Times New Roman" w:cs="Times New Roman" w:eastAsia="Times New Roman" w:hAnsi="Times New Roman"/>
          <w:sz w:val="20"/>
          <w:szCs w:val="20"/>
          <w:color w:val="auto"/>
        </w:rPr>
      </w:pPr>
    </w:p>
    <w:p>
      <w:pPr>
        <w:ind w:right="160" w:firstLine="1505"/>
        <w:spacing w:after="0" w:line="236" w:lineRule="auto"/>
        <w:tabs>
          <w:tab w:leader="none" w:pos="203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comply with the requirements of Rule 14e-1 under the Exchange Act, and any other securities laws and regulations to the extent those laws and regulations are applicable in connection with the repurchase of the Notes as a result of a Change of Control Triggering Event. To the extent that the provisions of any securities laws or regulations conflict with the Change of Control Triggering Event provisions of the Notes, the Company shall comply with the applicable securities laws and regulations and shall not be deemed to have breached its obligations under the Change of Control Triggering Event provisions of the Notes or the Indenture by virtue of such conflict.</w:t>
      </w:r>
    </w:p>
    <w:p>
      <w:pPr>
        <w:spacing w:after="0" w:line="179"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Change of Control Triggering Event payment date, the Company shall, to the extent lawful:</w:t>
      </w:r>
    </w:p>
    <w:p>
      <w:pPr>
        <w:spacing w:after="0" w:line="205" w:lineRule="exact"/>
        <w:rPr>
          <w:rFonts w:ascii="Times New Roman" w:cs="Times New Roman" w:eastAsia="Times New Roman" w:hAnsi="Times New Roman"/>
          <w:sz w:val="22"/>
          <w:szCs w:val="22"/>
          <w:color w:val="auto"/>
        </w:rPr>
      </w:pPr>
    </w:p>
    <w:p>
      <w:pPr>
        <w:ind w:firstLine="2254"/>
        <w:spacing w:after="0" w:line="258" w:lineRule="auto"/>
        <w:tabs>
          <w:tab w:leader="none" w:pos="254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accept for payment all the Notes or portions of the Notes (in minimum denominations of $2,000 and integral multiples of $1,000 above that amount) properly tendered pursuant to its offer;</w:t>
      </w:r>
    </w:p>
    <w:p>
      <w:pPr>
        <w:spacing w:after="0" w:line="157" w:lineRule="exact"/>
        <w:rPr>
          <w:rFonts w:ascii="Times New Roman" w:cs="Times New Roman" w:eastAsia="Times New Roman" w:hAnsi="Times New Roman"/>
          <w:sz w:val="22"/>
          <w:szCs w:val="22"/>
          <w:color w:val="auto"/>
        </w:rPr>
      </w:pPr>
    </w:p>
    <w:p>
      <w:pPr>
        <w:ind w:right="120" w:firstLine="2254"/>
        <w:spacing w:after="0" w:line="258" w:lineRule="auto"/>
        <w:tabs>
          <w:tab w:leader="none" w:pos="254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with the Paying Agent an amount equal to the aggregate purchase price in respect of all the Notes or portions of the Notes properly tendered; and</w:t>
      </w:r>
    </w:p>
    <w:p>
      <w:pPr>
        <w:spacing w:after="0" w:line="157" w:lineRule="exact"/>
        <w:rPr>
          <w:sz w:val="20"/>
          <w:szCs w:val="20"/>
          <w:color w:val="auto"/>
        </w:rPr>
      </w:pPr>
    </w:p>
    <w:p>
      <w:pPr>
        <w:ind w:right="720" w:firstLine="2246"/>
        <w:spacing w:after="0" w:line="258" w:lineRule="auto"/>
        <w:rPr>
          <w:sz w:val="20"/>
          <w:szCs w:val="20"/>
          <w:color w:val="auto"/>
        </w:rPr>
      </w:pPr>
      <w:r>
        <w:rPr>
          <w:rFonts w:ascii="Times New Roman" w:cs="Times New Roman" w:eastAsia="Times New Roman" w:hAnsi="Times New Roman"/>
          <w:sz w:val="22"/>
          <w:szCs w:val="22"/>
          <w:color w:val="auto"/>
        </w:rPr>
        <w:t>(iii)deliver or cause to be delivered to the Trustee the Notes properly accepted, together with an Officers’ Certificate stating the aggregate principal amount of Notes being purchased by the Company.</w:t>
      </w:r>
    </w:p>
    <w:p>
      <w:pPr>
        <w:spacing w:after="0" w:line="157" w:lineRule="exact"/>
        <w:rPr>
          <w:sz w:val="20"/>
          <w:szCs w:val="20"/>
          <w:color w:val="auto"/>
        </w:rPr>
      </w:pPr>
    </w:p>
    <w:p>
      <w:pPr>
        <w:ind w:right="220" w:firstLine="1505"/>
        <w:spacing w:after="0" w:line="239" w:lineRule="auto"/>
        <w:tabs>
          <w:tab w:leader="none" w:pos="203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Paying Agent shall promptly pay, from funds deposited by the Company for such purpose, to each Holder properly tendered, the purchase price for the Notes, and the Trustee shall promptly authenticate and mail (or cause to be transferred by book-entry) to each Holder a new Note equal in principal amount to any unpurchased portion of any Notes surrendered.</w:t>
      </w:r>
    </w:p>
    <w:p>
      <w:pPr>
        <w:spacing w:after="0" w:line="178" w:lineRule="exact"/>
        <w:rPr>
          <w:rFonts w:ascii="Times New Roman" w:cs="Times New Roman" w:eastAsia="Times New Roman" w:hAnsi="Times New Roman"/>
          <w:sz w:val="22"/>
          <w:szCs w:val="22"/>
          <w:color w:val="auto"/>
        </w:rPr>
      </w:pPr>
    </w:p>
    <w:p>
      <w:pPr>
        <w:ind w:right="20" w:firstLine="1505"/>
        <w:spacing w:after="0" w:line="280" w:lineRule="auto"/>
        <w:tabs>
          <w:tab w:leader="none" w:pos="2037"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required to make an offer to repurchase the Notes upon a Change of Control Triggering Event if a third party makes an offer in the manner, at the times and otherwise in compliance with the requirements for an offer made by the Company and such third party purchase all Notes properly tendered and not withdrawn under its offer.</w:t>
      </w:r>
    </w:p>
    <w:p>
      <w:pPr>
        <w:spacing w:after="0" w:line="3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7" w:name="page58"/>
    <w:bookmarkEnd w:id="57"/>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SIX</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MISCELLANEOUS PROVISIONS</w:t>
      </w:r>
    </w:p>
    <w:p>
      <w:pPr>
        <w:spacing w:after="0" w:line="181"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6.01 </w:t>
      </w:r>
      <w:r>
        <w:rPr>
          <w:rFonts w:ascii="Times New Roman" w:cs="Times New Roman" w:eastAsia="Times New Roman" w:hAnsi="Times New Roman"/>
          <w:sz w:val="22"/>
          <w:szCs w:val="22"/>
          <w:u w:val="single" w:color="auto"/>
          <w:color w:val="auto"/>
        </w:rPr>
        <w:t>Ratification of Base Indenture</w:t>
      </w:r>
      <w:r>
        <w:rPr>
          <w:rFonts w:ascii="Times New Roman" w:cs="Times New Roman" w:eastAsia="Times New Roman" w:hAnsi="Times New Roman"/>
          <w:sz w:val="22"/>
          <w:szCs w:val="22"/>
          <w:color w:val="auto"/>
        </w:rPr>
        <w:t>. This Fifth Supplemental Indenture is executed and shall be construed as an indenture supplemental to the Base Indenture, and as supplemented and modified hereby, the Base Indenture is in all respects ratified and confirmed, and the Base Indenture and this Fifth Supplemental Indenture shall be read, taken and construed as one and the same instrument.</w:t>
      </w:r>
    </w:p>
    <w:p>
      <w:pPr>
        <w:spacing w:after="0" w:line="179"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u w:val="single" w:color="auto"/>
          <w:color w:val="auto"/>
        </w:rPr>
        <w:t>Conflict with Trust Indenture Act</w:t>
      </w:r>
      <w:r>
        <w:rPr>
          <w:rFonts w:ascii="Times New Roman" w:cs="Times New Roman" w:eastAsia="Times New Roman" w:hAnsi="Times New Roman"/>
          <w:sz w:val="22"/>
          <w:szCs w:val="22"/>
          <w:color w:val="auto"/>
        </w:rPr>
        <w:t>. If any provision hereof limits, qualifies or conflicts with another provision hereof, or with a provision of the Base Indenture, which is required to be included in this Fifth Supplemental Indenture, or in the Base Indenture, respectively, by any of the provisions of the Trust Indenture Act, such required provision shall control to the extent it is applicable.</w:t>
      </w:r>
    </w:p>
    <w:p>
      <w:pPr>
        <w:spacing w:after="0" w:line="17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6.03 </w:t>
      </w:r>
      <w:r>
        <w:rPr>
          <w:rFonts w:ascii="Times New Roman" w:cs="Times New Roman" w:eastAsia="Times New Roman" w:hAnsi="Times New Roman"/>
          <w:sz w:val="22"/>
          <w:szCs w:val="22"/>
          <w:u w:val="single" w:color="auto"/>
          <w:color w:val="auto"/>
        </w:rPr>
        <w:t>Effect of Headings and Table of Contents</w:t>
      </w:r>
      <w:r>
        <w:rPr>
          <w:rFonts w:ascii="Times New Roman" w:cs="Times New Roman" w:eastAsia="Times New Roman" w:hAnsi="Times New Roman"/>
          <w:sz w:val="22"/>
          <w:szCs w:val="22"/>
          <w:color w:val="auto"/>
        </w:rPr>
        <w:t>. The Article and Section headings herein and the Table of Contents are for convenience only and shall not affect the construction hereof.</w:t>
      </w:r>
    </w:p>
    <w:p>
      <w:pPr>
        <w:spacing w:after="0" w:line="157"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 xml:space="preserve">SECTION 6.04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All covenants and agreements in this Fifth Supplemental Indenture by the Company shall bind its successors and assigns, whether so expressed or not.</w:t>
      </w:r>
    </w:p>
    <w:p>
      <w:pPr>
        <w:spacing w:after="0" w:line="157" w:lineRule="exact"/>
        <w:rPr>
          <w:sz w:val="20"/>
          <w:szCs w:val="20"/>
          <w:color w:val="auto"/>
        </w:rPr>
      </w:pPr>
    </w:p>
    <w:p>
      <w:pPr>
        <w:jc w:val="both"/>
        <w:ind w:right="200" w:firstLine="749"/>
        <w:spacing w:after="0" w:line="244" w:lineRule="auto"/>
        <w:rPr>
          <w:sz w:val="20"/>
          <w:szCs w:val="20"/>
          <w:color w:val="auto"/>
        </w:rPr>
      </w:pPr>
      <w:r>
        <w:rPr>
          <w:rFonts w:ascii="Times New Roman" w:cs="Times New Roman" w:eastAsia="Times New Roman" w:hAnsi="Times New Roman"/>
          <w:sz w:val="22"/>
          <w:szCs w:val="22"/>
          <w:color w:val="auto"/>
        </w:rPr>
        <w:t xml:space="preserve">SECTION 6.05 </w:t>
      </w:r>
      <w:r>
        <w:rPr>
          <w:rFonts w:ascii="Times New Roman" w:cs="Times New Roman" w:eastAsia="Times New Roman" w:hAnsi="Times New Roman"/>
          <w:sz w:val="22"/>
          <w:szCs w:val="22"/>
          <w:u w:val="single" w:color="auto"/>
          <w:color w:val="auto"/>
        </w:rPr>
        <w:t>Separability Clause</w:t>
      </w:r>
      <w:r>
        <w:rPr>
          <w:rFonts w:ascii="Times New Roman" w:cs="Times New Roman" w:eastAsia="Times New Roman" w:hAnsi="Times New Roman"/>
          <w:sz w:val="22"/>
          <w:szCs w:val="22"/>
          <w:color w:val="auto"/>
        </w:rPr>
        <w:t>. In case any one or more of the provisions contained in this Fifth Supplemental Indenture or in the Notes shall for any reason be held to be invalid, illegal or unenforceable in any respect, the validity, legality and enforceability of the remaining provisions shall not in any way be affected or impaired thereby.</w:t>
      </w:r>
    </w:p>
    <w:p>
      <w:pPr>
        <w:spacing w:after="0" w:line="172" w:lineRule="exact"/>
        <w:rPr>
          <w:sz w:val="20"/>
          <w:szCs w:val="20"/>
          <w:color w:val="auto"/>
        </w:rPr>
      </w:pPr>
    </w:p>
    <w:p>
      <w:pPr>
        <w:ind w:right="40" w:firstLine="749"/>
        <w:spacing w:after="0" w:line="234" w:lineRule="auto"/>
        <w:rPr>
          <w:sz w:val="20"/>
          <w:szCs w:val="20"/>
          <w:color w:val="auto"/>
        </w:rPr>
      </w:pPr>
      <w:r>
        <w:rPr>
          <w:rFonts w:ascii="Times New Roman" w:cs="Times New Roman" w:eastAsia="Times New Roman" w:hAnsi="Times New Roman"/>
          <w:sz w:val="22"/>
          <w:szCs w:val="22"/>
          <w:color w:val="auto"/>
        </w:rPr>
        <w:t xml:space="preserve">SECTION 6.06 </w:t>
      </w:r>
      <w:r>
        <w:rPr>
          <w:rFonts w:ascii="Times New Roman" w:cs="Times New Roman" w:eastAsia="Times New Roman" w:hAnsi="Times New Roman"/>
          <w:sz w:val="22"/>
          <w:szCs w:val="22"/>
          <w:u w:val="single" w:color="auto"/>
          <w:color w:val="auto"/>
        </w:rPr>
        <w:t>Trustee Not Responsible for Recitals</w:t>
      </w:r>
      <w:r>
        <w:rPr>
          <w:rFonts w:ascii="Times New Roman" w:cs="Times New Roman" w:eastAsia="Times New Roman" w:hAnsi="Times New Roman"/>
          <w:sz w:val="22"/>
          <w:szCs w:val="22"/>
          <w:color w:val="auto"/>
        </w:rPr>
        <w:t>. The Trustee accepts the amendments of the Indenture effected by this Fifth Supplemental Indenture, but on the terms and conditions set forth in the Indenture, including the terms and provisions defining and limiting the liabilities and responsibilities of the Trustee. Without limiting the generality of the foregoing, the Trustee shall not be responsible in any manner whatsoever for or with respect to any of the recitals or statements contained herein, all of which recitals or statements are made solely by the Company, or for or with respect to (i) the validity or sufficiency of this Fifth Supplemental Indenture or any of the terms or provisions hereof, (ii) the proper authorization hereof by the Company by action or otherwise, (iii) the due execution hereof by the Company or (iv) the consequences of any amendment herein provided for, and the Trustee makes no representation with respect to any such matters.</w:t>
      </w:r>
    </w:p>
    <w:p>
      <w:pPr>
        <w:spacing w:after="0" w:line="184"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6.07 </w:t>
      </w:r>
      <w:r>
        <w:rPr>
          <w:rFonts w:ascii="Times New Roman" w:cs="Times New Roman" w:eastAsia="Times New Roman" w:hAnsi="Times New Roman"/>
          <w:sz w:val="22"/>
          <w:szCs w:val="22"/>
          <w:u w:val="single" w:color="auto"/>
          <w:color w:val="auto"/>
        </w:rPr>
        <w:t>Governing Law and Waiver of Jury Trial</w:t>
      </w:r>
      <w:r>
        <w:rPr>
          <w:rFonts w:ascii="Times New Roman" w:cs="Times New Roman" w:eastAsia="Times New Roman" w:hAnsi="Times New Roman"/>
          <w:sz w:val="22"/>
          <w:szCs w:val="22"/>
          <w:color w:val="auto"/>
        </w:rPr>
        <w:t>. This Fifth Supplemental Indenture and the Notes shall be governed by and construed in accordance with the laws of the State of New York applicable to agreements made or instruments entered into and, in each case, performed in said State. EACH OF THE COMPANY AND THE TRUSTEE HEREBY IRREVOCABLY WAIVES, TO THE FULLEST EXTENT PERMITTED BY APPLICABLE LAW, ANY AND ALL RIGHT TO TRIAL BY JURY IN ANY LEGAL ACTION, SUIT OR PROCEEDING ARISING OUT OF OR IN CONNECTION WITH THIS FIFTH</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83"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22"/>
          <w:szCs w:val="22"/>
          <w:color w:val="auto"/>
        </w:rPr>
        <w:t xml:space="preserve">SUPPLEMENTAL INDENTURE, THE BASE INDENTURE, THE NOTES, ANY COUPONS OR THE TRANSACTIONS CONTEMPLATED </w:t>
      </w:r>
      <w:r>
        <w:rPr>
          <w:rFonts w:ascii="Times New Roman" w:cs="Times New Roman" w:eastAsia="Times New Roman" w:hAnsi="Times New Roman"/>
          <w:sz w:val="22"/>
          <w:szCs w:val="22"/>
          <w:u w:val="single" w:color="auto"/>
          <w:color w:val="auto"/>
        </w:rPr>
        <w:t>HEREBY</w:t>
      </w:r>
      <w:r>
        <w:rPr>
          <w:rFonts w:ascii="Times New Roman" w:cs="Times New Roman" w:eastAsia="Times New Roman" w:hAnsi="Times New Roman"/>
          <w:sz w:val="22"/>
          <w:szCs w:val="22"/>
          <w:color w:val="auto"/>
        </w:rPr>
        <w:t>.</w:t>
      </w:r>
    </w:p>
    <w:p>
      <w:pPr>
        <w:spacing w:after="0" w:line="157" w:lineRule="exact"/>
        <w:rPr>
          <w:sz w:val="20"/>
          <w:szCs w:val="20"/>
          <w:color w:val="auto"/>
        </w:rPr>
      </w:pPr>
    </w:p>
    <w:p>
      <w:pPr>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6.08 </w:t>
      </w: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Fifth Supplemental Indenture may be executed in several counterparts, each of which shall be an original and all of which shall constitute but one and the same instrument. The exchange of copies of this Fifth Supplemental Indenture and of signature pages by facsimile, PDF or other electronic transmission shall constitute effective execution and delivery of this Fifth Supplemental Indenture as to the parties hereto and may be used in lieu of the original Fifth Supplemental Indenture and signature pages for all purposes. Signatures of the parties hereto transmitted by facsimile, PDF or other electronic transmission shall be deemed to be their original signatures for all purposes.</w:t>
      </w:r>
    </w:p>
    <w:p>
      <w:pPr>
        <w:spacing w:after="0" w:line="17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39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59" w:name="page60"/>
    <w:bookmarkEnd w:id="59"/>
    <w:p>
      <w:pPr>
        <w:ind w:firstLine="749"/>
        <w:spacing w:after="0" w:line="258" w:lineRule="auto"/>
        <w:rPr>
          <w:sz w:val="20"/>
          <w:szCs w:val="20"/>
          <w:color w:val="auto"/>
        </w:rPr>
      </w:pPr>
      <w:r>
        <w:rPr>
          <w:rFonts w:ascii="Times New Roman" w:cs="Times New Roman" w:eastAsia="Times New Roman" w:hAnsi="Times New Roman"/>
          <w:sz w:val="22"/>
          <w:szCs w:val="22"/>
          <w:color w:val="1C1C1C"/>
        </w:rPr>
        <w:t xml:space="preserve">IN WITNESS WHEREOF, the parties </w:t>
      </w:r>
      <w:r>
        <w:rPr>
          <w:rFonts w:ascii="Times New Roman" w:cs="Times New Roman" w:eastAsia="Times New Roman" w:hAnsi="Times New Roman"/>
          <w:sz w:val="22"/>
          <w:szCs w:val="22"/>
          <w:color w:val="2D2D2D"/>
        </w:rPr>
        <w:t>hereto</w:t>
      </w:r>
      <w:r>
        <w:rPr>
          <w:rFonts w:ascii="Times New Roman" w:cs="Times New Roman" w:eastAsia="Times New Roman" w:hAnsi="Times New Roman"/>
          <w:sz w:val="22"/>
          <w:szCs w:val="22"/>
          <w:color w:val="1C1C1C"/>
        </w:rPr>
        <w:t xml:space="preserve"> have caused </w:t>
      </w:r>
      <w:r>
        <w:rPr>
          <w:rFonts w:ascii="Times New Roman" w:cs="Times New Roman" w:eastAsia="Times New Roman" w:hAnsi="Times New Roman"/>
          <w:sz w:val="22"/>
          <w:szCs w:val="22"/>
          <w:color w:val="2D2D2D"/>
        </w:rPr>
        <w:t>this Fifth</w:t>
      </w:r>
      <w:r>
        <w:rPr>
          <w:rFonts w:ascii="Times New Roman" w:cs="Times New Roman" w:eastAsia="Times New Roman" w:hAnsi="Times New Roman"/>
          <w:sz w:val="22"/>
          <w:szCs w:val="22"/>
          <w:color w:val="1C1C1C"/>
        </w:rPr>
        <w:t xml:space="preserve"> Supplemental Indenture to be duly </w:t>
      </w:r>
      <w:r>
        <w:rPr>
          <w:rFonts w:ascii="Times New Roman" w:cs="Times New Roman" w:eastAsia="Times New Roman" w:hAnsi="Times New Roman"/>
          <w:sz w:val="22"/>
          <w:szCs w:val="22"/>
          <w:color w:val="2D2D2D"/>
        </w:rPr>
        <w:t>executed, all as</w:t>
      </w:r>
      <w:r>
        <w:rPr>
          <w:rFonts w:ascii="Times New Roman" w:cs="Times New Roman" w:eastAsia="Times New Roman" w:hAnsi="Times New Roman"/>
          <w:sz w:val="22"/>
          <w:szCs w:val="22"/>
          <w:color w:val="1C1C1C"/>
        </w:rPr>
        <w:t xml:space="preserve"> of </w:t>
      </w:r>
      <w:r>
        <w:rPr>
          <w:rFonts w:ascii="Times New Roman" w:cs="Times New Roman" w:eastAsia="Times New Roman" w:hAnsi="Times New Roman"/>
          <w:sz w:val="22"/>
          <w:szCs w:val="22"/>
          <w:color w:val="2D2D2D"/>
        </w:rPr>
        <w:t>the day and year first above written.</w:t>
      </w:r>
    </w:p>
    <w:p>
      <w:pPr>
        <w:spacing w:after="0" w:line="19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BROWN &amp; BROWN, INC.</w:t>
      </w:r>
    </w:p>
    <w:p>
      <w:pPr>
        <w:spacing w:after="0" w:line="200" w:lineRule="exact"/>
        <w:rPr>
          <w:sz w:val="20"/>
          <w:szCs w:val="20"/>
          <w:color w:val="auto"/>
        </w:rPr>
      </w:pPr>
    </w:p>
    <w:p>
      <w:pPr>
        <w:spacing w:after="0" w:line="356" w:lineRule="exact"/>
        <w:rPr>
          <w:sz w:val="20"/>
          <w:szCs w:val="20"/>
          <w:color w:val="auto"/>
        </w:rPr>
      </w:pPr>
    </w:p>
    <w:tbl>
      <w:tblPr>
        <w:tblLayout w:type="fixed"/>
        <w:tblInd w:w="5080" w:type="dxa"/>
        <w:tblCellMar>
          <w:top w:w="0" w:type="dxa"/>
          <w:left w:w="0" w:type="dxa"/>
          <w:bottom w:w="0" w:type="dxa"/>
          <w:right w:w="0" w:type="dxa"/>
        </w:tblCellMar>
      </w:tblP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J. Powell Brown</w:t>
            </w:r>
          </w:p>
        </w:tc>
      </w:tr>
      <w:tr>
        <w:trPr>
          <w:trHeight w:val="250"/>
        </w:trPr>
        <w:tc>
          <w:tcPr>
            <w:tcW w:w="780" w:type="dxa"/>
            <w:vAlign w:val="bottom"/>
          </w:tcPr>
          <w:p>
            <w:pPr>
              <w:spacing w:after="0"/>
              <w:rPr>
                <w:sz w:val="21"/>
                <w:szCs w:val="21"/>
                <w:color w:val="auto"/>
              </w:rPr>
            </w:pPr>
          </w:p>
        </w:tc>
        <w:tc>
          <w:tcPr>
            <w:tcW w:w="53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J. Powell Brown</w:t>
            </w:r>
          </w:p>
        </w:tc>
      </w:tr>
      <w:tr>
        <w:trPr>
          <w:trHeight w:val="282"/>
        </w:trPr>
        <w:tc>
          <w:tcPr>
            <w:tcW w:w="78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President and Chief Executive Officer</w:t>
            </w:r>
          </w:p>
        </w:tc>
      </w:tr>
    </w:tbl>
    <w:p>
      <w:pPr>
        <w:spacing w:after="0" w:line="200" w:lineRule="exact"/>
        <w:rPr>
          <w:sz w:val="20"/>
          <w:szCs w:val="20"/>
          <w:color w:val="auto"/>
        </w:rPr>
      </w:pPr>
    </w:p>
    <w:p>
      <w:pPr>
        <w:spacing w:after="0" w:line="3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U.S. BANK TRUST COMPANY, NATIONAL</w:t>
      </w:r>
    </w:p>
    <w:p>
      <w:pPr>
        <w:spacing w:after="0" w:line="2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ASSOCIATION (as successor to U.S. Bank</w:t>
      </w:r>
    </w:p>
    <w:p>
      <w:pPr>
        <w:spacing w:after="0" w:line="1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National Association), as Trustee</w:t>
      </w:r>
    </w:p>
    <w:p>
      <w:pPr>
        <w:spacing w:after="0" w:line="200" w:lineRule="exact"/>
        <w:rPr>
          <w:sz w:val="20"/>
          <w:szCs w:val="20"/>
          <w:color w:val="auto"/>
        </w:rPr>
      </w:pPr>
    </w:p>
    <w:p>
      <w:pPr>
        <w:spacing w:after="0" w:line="344" w:lineRule="exact"/>
        <w:rPr>
          <w:sz w:val="20"/>
          <w:szCs w:val="20"/>
          <w:color w:val="auto"/>
        </w:rPr>
      </w:pPr>
    </w:p>
    <w:tbl>
      <w:tblPr>
        <w:tblLayout w:type="fixed"/>
        <w:tblInd w:w="5080" w:type="dxa"/>
        <w:tblCellMar>
          <w:top w:w="0" w:type="dxa"/>
          <w:left w:w="0" w:type="dxa"/>
          <w:bottom w:w="0" w:type="dxa"/>
          <w:right w:w="0" w:type="dxa"/>
        </w:tblCellMar>
      </w:tblPr>
      <w:tr>
        <w:trPr>
          <w:trHeight w:val="28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5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Leanne M. Duffy</w:t>
            </w:r>
          </w:p>
        </w:tc>
      </w:tr>
      <w:tr>
        <w:trPr>
          <w:trHeight w:val="250"/>
        </w:trPr>
        <w:tc>
          <w:tcPr>
            <w:tcW w:w="780" w:type="dxa"/>
            <w:vAlign w:val="bottom"/>
          </w:tcPr>
          <w:p>
            <w:pPr>
              <w:spacing w:after="0"/>
              <w:rPr>
                <w:sz w:val="21"/>
                <w:szCs w:val="21"/>
                <w:color w:val="auto"/>
              </w:rPr>
            </w:pPr>
          </w:p>
        </w:tc>
        <w:tc>
          <w:tcPr>
            <w:tcW w:w="538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Name: Leanne M. Duffy</w:t>
            </w:r>
          </w:p>
        </w:tc>
      </w:tr>
      <w:tr>
        <w:trPr>
          <w:trHeight w:val="282"/>
        </w:trPr>
        <w:tc>
          <w:tcPr>
            <w:tcW w:w="780" w:type="dxa"/>
            <w:vAlign w:val="bottom"/>
          </w:tcPr>
          <w:p>
            <w:pPr>
              <w:spacing w:after="0"/>
              <w:rPr>
                <w:sz w:val="24"/>
                <w:szCs w:val="24"/>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Title: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Fifth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22"/>
          <w:szCs w:val="22"/>
          <w:color w:val="auto"/>
        </w:rPr>
        <w:t>EXHIBIT 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of Face of 2034 Note]</w:t>
      </w:r>
    </w:p>
    <w:p>
      <w:pPr>
        <w:spacing w:after="0" w:line="1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THIS SECURITY IS A GLOBAL SECURITY WITHIN THE MEANING OF THE INDENTURE HEREINAFTER REFERRED TO AND IS REGISTERED IN THE NAME OF A DEPOSITARY OR A NOMINEE THEREOF. THIS SECURITY MAY NOT BE EXCHANGED IN WHOLE OR IN PART FOR A SECURITY REGISTERED, AND NO TRANSFER OF THIS SECURITY IN WHOLE OR IN PART MAY BE REGISTERED, IN THE NAME OF ANY PERSON OTHER THAN SUCH DEPOSITARY OR A NOMINEE THEREOF, EXCEPT IN THE LIMITED CIRCUMSTANCES DESCRIBED IN THE INDENTURE.</w:t>
      </w:r>
    </w:p>
    <w:p>
      <w:pPr>
        <w:spacing w:after="0" w:line="1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UNLESS THIS CERTIFICATE IS PRESENTED BY AN AUTHORIZED REPRESENTATIVE OF THE DEPOSITORY TRUST COMPANY, A NEW YORK CORPORATION (“DTC”), TO THE COMPANY OR ITS AGENT FOR REGISTRATION OF TRANSFER, EXCHANGE, OR PAYMENT, AND ANY CERTIFICATE ISSUED IS REGISTERED IN THE NAME OF CEDE</w:t>
      </w:r>
    </w:p>
    <w:p>
      <w:pPr>
        <w:spacing w:after="0" w:line="2" w:lineRule="exact"/>
        <w:rPr>
          <w:sz w:val="20"/>
          <w:szCs w:val="20"/>
          <w:color w:val="auto"/>
        </w:rPr>
      </w:pPr>
    </w:p>
    <w:p>
      <w:pPr>
        <w:jc w:val="both"/>
        <w:ind w:firstLine="8"/>
        <w:spacing w:after="0" w:line="233" w:lineRule="auto"/>
        <w:tabs>
          <w:tab w:leader="none" w:pos="226"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BROWN &amp; BROWN, INC.</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5.650% Notes due 2034</w:t>
      </w:r>
    </w:p>
    <w:p>
      <w:pPr>
        <w:spacing w:after="0" w:line="222" w:lineRule="exact"/>
        <w:rPr>
          <w:sz w:val="20"/>
          <w:szCs w:val="20"/>
          <w:color w:val="auto"/>
        </w:rPr>
      </w:pPr>
    </w:p>
    <w:p>
      <w:pPr>
        <w:ind w:left="8920"/>
        <w:spacing w:after="0"/>
        <w:rPr>
          <w:sz w:val="20"/>
          <w:szCs w:val="20"/>
          <w:color w:val="auto"/>
        </w:rPr>
      </w:pPr>
      <w:r>
        <w:rPr>
          <w:rFonts w:ascii="Times New Roman" w:cs="Times New Roman" w:eastAsia="Times New Roman" w:hAnsi="Times New Roman"/>
          <w:sz w:val="22"/>
          <w:szCs w:val="22"/>
          <w:color w:val="auto"/>
        </w:rPr>
        <w:t>CUSIP NO. 115236AG6</w:t>
      </w:r>
    </w:p>
    <w:p>
      <w:pPr>
        <w:spacing w:after="0" w:line="29" w:lineRule="exact"/>
        <w:rPr>
          <w:sz w:val="20"/>
          <w:szCs w:val="20"/>
          <w:color w:val="auto"/>
        </w:rPr>
      </w:pPr>
    </w:p>
    <w:p>
      <w:pPr>
        <w:ind w:left="240"/>
        <w:spacing w:after="0"/>
        <w:tabs>
          <w:tab w:leader="none" w:pos="9660" w:val="left"/>
          <w:tab w:leader="none" w:pos="10920" w:val="left"/>
        </w:tabs>
        <w:rPr>
          <w:sz w:val="20"/>
          <w:szCs w:val="20"/>
          <w:color w:val="auto"/>
        </w:rPr>
      </w:pPr>
      <w:r>
        <w:rPr>
          <w:rFonts w:ascii="Times New Roman" w:cs="Times New Roman" w:eastAsia="Times New Roman" w:hAnsi="Times New Roman"/>
          <w:sz w:val="22"/>
          <w:szCs w:val="22"/>
          <w:color w:val="auto"/>
        </w:rPr>
        <w:t>No.</w:t>
      </w:r>
      <w:r>
        <w:rPr>
          <w:sz w:val="20"/>
          <w:szCs w:val="20"/>
          <w:color w:val="auto"/>
        </w:rPr>
        <w:tab/>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0"/>
          <w:szCs w:val="20"/>
          <w:color w:val="auto"/>
        </w:rPr>
        <w:t>Brown &amp; Brown, Inc., a Florida corporation (herein called the “Company”, which term includes any successor Person under the Indenture hereinafter referred to), for value received, hereby promises to pay to Cede &amp; Co., or registered assigns, the principal</w:t>
      </w:r>
    </w:p>
    <w:p>
      <w:pPr>
        <w:spacing w:after="0" w:line="2"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sum of [ ] Dollars on June 11, 2034 and to pay interest thereon from June 11, 2024 or from the most recent Interest Payment Date to which interest has been paid or duly provided for, semi-annually on June 11 and December 11 in each year (or, if any such Interest Payment Date falls on a day that is not a Business Day, the payment shall be made on the next Business Day), commencing December 11, 2024, at the rate of 5.650% per annum, until the principal hereof is paid or made available for payment. The interest so payable, and punctually paid or duly provided for, on any Interest Payment Date will, as provided in such Indenture, be paid to the Person in whose name this Security is registered at the close of business on the Regular Record Date for such interest, which shall be the May 27 or November 26 (whether or not a Business Day), as the case may be, next preceding such Interest Payment Date. Except as otherwise provided in the Indenture,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Trustee, notice of which shall be given to Holders of Notes not less than ten (10) days prior to the Special Record Date, or be paid at any time in any other lawful manner not inconsistent with the requirements of any automated quotation system or securities exchange on which the Notes may</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2"/>
          <w:szCs w:val="22"/>
          <w:color w:val="auto"/>
        </w:rPr>
        <w:t>be quoted or listed, and upon such notice as may be required by such exchange, all as more fully provided in the Indenture.</w:t>
      </w:r>
    </w:p>
    <w:p>
      <w:pPr>
        <w:spacing w:after="0" w:line="20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Payment of the principal of (and premium, if any) and any such interest on this Security will be made at the office or agency of the Company maintained for that purpose in The City of New York, State of New York or at the office or agency of the Paying Agent in The City of New York, State of New York, in such coin or currency of the United States of America as at the time of payment is legal tender for payment of public and private debts;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xml:space="preserve"> that at the option of the Company payment of interest may be made by (i) check mailed to the address of the Person entitled thereto as such address shall appear in the Security Register or (ii) wire transfer in immediately available funds to the place and account designated in writing by the Person entitled to such payment as specified in the Security Register;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if this Security is a Global Note, payment may be made pursuant to the Applicable Procedures of the Depositary as permitted in the Indenture.</w:t>
      </w:r>
    </w:p>
    <w:p>
      <w:pPr>
        <w:spacing w:after="0" w:line="18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Reference is hereby made to the further provisions of this Note set forth on the reverse hereof, which further provisions shall for all purposes have the same effect as if set forth at this place.</w:t>
      </w:r>
    </w:p>
    <w:p>
      <w:pPr>
        <w:spacing w:after="0" w:line="15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Unless the certificate of authentication hereof has been executed by the Trustee referred to on the reverse hereof by manual signature, this Note shall not be entitled to any benefit under the Indenture or be valid or obligatory for any purpose.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IN WITNESS WHEREOF, the Company has caused this instrument to be duly executed.</w:t>
      </w:r>
    </w:p>
    <w:p>
      <w:pPr>
        <w:spacing w:after="0" w:line="24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BROWN &amp; BROWN, INC.</w:t>
      </w:r>
    </w:p>
    <w:p>
      <w:pPr>
        <w:spacing w:after="0" w:line="200" w:lineRule="exact"/>
        <w:rPr>
          <w:sz w:val="20"/>
          <w:szCs w:val="20"/>
          <w:color w:val="auto"/>
        </w:rPr>
      </w:pPr>
    </w:p>
    <w:p>
      <w:pPr>
        <w:spacing w:after="0" w:line="35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By:</w:t>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-159385</wp:posOffset>
            </wp:positionV>
            <wp:extent cx="3561715"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5">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4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By:</w:t>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-159385</wp:posOffset>
            </wp:positionV>
            <wp:extent cx="356171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6">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9"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2"/>
          <w:szCs w:val="22"/>
          <w:color w:val="auto"/>
        </w:rPr>
        <w:t>[Form of Reverse of 2034 Note]</w:t>
      </w:r>
    </w:p>
    <w:p>
      <w:pPr>
        <w:spacing w:after="0" w:line="205" w:lineRule="exact"/>
        <w:rPr>
          <w:sz w:val="20"/>
          <w:szCs w:val="20"/>
          <w:color w:val="auto"/>
        </w:rPr>
      </w:pPr>
    </w:p>
    <w:p>
      <w:pPr>
        <w:ind w:firstLine="749"/>
        <w:spacing w:after="0" w:line="259" w:lineRule="auto"/>
        <w:rPr>
          <w:sz w:val="20"/>
          <w:szCs w:val="20"/>
          <w:color w:val="auto"/>
        </w:rPr>
      </w:pPr>
      <w:r>
        <w:rPr>
          <w:rFonts w:ascii="Times New Roman" w:cs="Times New Roman" w:eastAsia="Times New Roman" w:hAnsi="Times New Roman"/>
          <w:sz w:val="20"/>
          <w:szCs w:val="20"/>
          <w:color w:val="auto"/>
        </w:rPr>
        <w:t xml:space="preserve">This Note is one of a duly authorized issue of securities of the Company (herein called the “Notes”), issued and to be issued in one or more series under an Indenture, dated as of September 18, 2014 (the “Base Indenture”), as supplemented by the Fifth Supplemental Indenture, dated as of June 11, 2024 (the “Fifth Supplemental Indenture” and, together with the Base Indenture, the “Indenture”), between the Company and U.S. Bank Trust Company, National Association (as successor to U.S. Bank National Association), a national banking association duly organized and existing under the laws of the United States, as Trustee (herein called the “Trustee”, which term includes any successor trustee under the Indenture), and reference is hereby made to the Indenture for a statement of the respective rights, limitations of rights, duties and immunities thereunder of the Company, the Trustee and the Holders of the Note and of the terms upon which the Securities are, and are to be, authenticated and delivered. This Note is one of the series designated on the face hereof, initially limited in aggregate principal amount to $[], </w:t>
      </w:r>
      <w:r>
        <w:rPr>
          <w:rFonts w:ascii="Times New Roman" w:cs="Times New Roman" w:eastAsia="Times New Roman" w:hAnsi="Times New Roman"/>
          <w:sz w:val="20"/>
          <w:szCs w:val="20"/>
          <w:i w:val="1"/>
          <w:iCs w:val="1"/>
          <w:color w:val="auto"/>
        </w:rPr>
        <w:t xml:space="preserve">provided </w:t>
      </w:r>
      <w:r>
        <w:rPr>
          <w:rFonts w:ascii="Times New Roman" w:cs="Times New Roman" w:eastAsia="Times New Roman" w:hAnsi="Times New Roman"/>
          <w:sz w:val="20"/>
          <w:szCs w:val="20"/>
          <w:color w:val="auto"/>
        </w:rPr>
        <w:t>that the Company may, without the consent of any Holder, at any time and from time to time issue additional Notes.</w:t>
      </w:r>
    </w:p>
    <w:p>
      <w:pPr>
        <w:spacing w:after="0" w:line="161" w:lineRule="exact"/>
        <w:rPr>
          <w:sz w:val="20"/>
          <w:szCs w:val="20"/>
          <w:color w:val="auto"/>
        </w:rPr>
      </w:pPr>
    </w:p>
    <w:p>
      <w:pPr>
        <w:ind w:right="280" w:firstLine="749"/>
        <w:spacing w:after="0" w:line="258" w:lineRule="auto"/>
        <w:rPr>
          <w:sz w:val="20"/>
          <w:szCs w:val="20"/>
          <w:color w:val="auto"/>
        </w:rPr>
      </w:pPr>
      <w:r>
        <w:rPr>
          <w:rFonts w:ascii="Times New Roman" w:cs="Times New Roman" w:eastAsia="Times New Roman" w:hAnsi="Times New Roman"/>
          <w:sz w:val="22"/>
          <w:szCs w:val="22"/>
          <w:color w:val="auto"/>
        </w:rPr>
        <w:t>The Notes of this series are subject to redemption as provided in Section 3.01 of the Fifth Supplemental Indenture and Article Eleven of the Base Indenture.</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Note will not be subject to any sinking fund.</w:t>
      </w:r>
    </w:p>
    <w:p>
      <w:pPr>
        <w:spacing w:after="0" w:line="205" w:lineRule="exact"/>
        <w:rPr>
          <w:sz w:val="20"/>
          <w:szCs w:val="20"/>
          <w:color w:val="auto"/>
        </w:rPr>
      </w:pPr>
    </w:p>
    <w:p>
      <w:pPr>
        <w:ind w:right="100" w:firstLine="749"/>
        <w:spacing w:after="0" w:line="244" w:lineRule="auto"/>
        <w:rPr>
          <w:sz w:val="20"/>
          <w:szCs w:val="20"/>
          <w:color w:val="auto"/>
        </w:rPr>
      </w:pPr>
      <w:r>
        <w:rPr>
          <w:rFonts w:ascii="Times New Roman" w:cs="Times New Roman" w:eastAsia="Times New Roman" w:hAnsi="Times New Roman"/>
          <w:sz w:val="22"/>
          <w:szCs w:val="22"/>
          <w:color w:val="auto"/>
        </w:rPr>
        <w:t>The Indenture contains provisions for defeasance at any time of the entire indebtedness of this Note or certain restrictive covenants and Events of Default with respect to this Note, in each case upon compliance with certain conditions set forth in the Indenture.</w:t>
      </w:r>
    </w:p>
    <w:p>
      <w:pPr>
        <w:spacing w:after="0" w:line="172"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22"/>
          <w:szCs w:val="22"/>
          <w:color w:val="auto"/>
        </w:rPr>
        <w:t>If an Event of Default with respect to Notes of this series shall occur and be continuing, the principal of the Notes of this series may be declared due and payable in the manner and with the effect provided in the Indenture.</w:t>
      </w:r>
    </w:p>
    <w:p>
      <w:pPr>
        <w:spacing w:after="0" w:line="157" w:lineRule="exact"/>
        <w:rPr>
          <w:sz w:val="20"/>
          <w:szCs w:val="20"/>
          <w:color w:val="auto"/>
        </w:rPr>
      </w:pPr>
    </w:p>
    <w:p>
      <w:pPr>
        <w:ind w:right="60" w:firstLine="749"/>
        <w:spacing w:after="0" w:line="260" w:lineRule="auto"/>
        <w:rPr>
          <w:sz w:val="20"/>
          <w:szCs w:val="20"/>
          <w:color w:val="auto"/>
        </w:rPr>
      </w:pPr>
      <w:r>
        <w:rPr>
          <w:rFonts w:ascii="Times New Roman" w:cs="Times New Roman" w:eastAsia="Times New Roman" w:hAnsi="Times New Roman"/>
          <w:sz w:val="20"/>
          <w:szCs w:val="20"/>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158" w:lineRule="exact"/>
        <w:rPr>
          <w:sz w:val="20"/>
          <w:szCs w:val="20"/>
          <w:color w:val="auto"/>
        </w:rPr>
      </w:pPr>
    </w:p>
    <w:p>
      <w:pPr>
        <w:ind w:right="140" w:firstLine="749"/>
        <w:spacing w:after="0" w:line="280" w:lineRule="auto"/>
        <w:rPr>
          <w:sz w:val="20"/>
          <w:szCs w:val="20"/>
          <w:color w:val="auto"/>
        </w:rPr>
      </w:pPr>
      <w:r>
        <w:rPr>
          <w:rFonts w:ascii="Times New Roman" w:cs="Times New Roman" w:eastAsia="Times New Roman" w:hAnsi="Times New Roman"/>
          <w:sz w:val="20"/>
          <w:szCs w:val="20"/>
          <w:color w:val="auto"/>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3" w:name="page64"/>
    <w:bookmarkEnd w:id="63"/>
    <w:p>
      <w:pPr>
        <w:spacing w:after="0" w:line="183"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the Securities of this series, the Holders of not less than 25% in principal amount of the Notes of this series at the time Outstanding shall have made written request to the Trustee to institute proceedings in respect of such Event of Default as Trustee and offered the Trustee an indemnity satisfactory to the Trustee, and the Trustee shall not have received from the Holders of a majority in principal amount of Securities of this series at the time Outstanding a direction inconsistent with such request, and shall have failed to institute any such proceeding, for sixty (60) days after receipt of such notice, request and offer of indemnity. The foregoing shall not apply to any suit instituted by the Holder of this Note for the enforcement of any payment of principal hereof or any premium or interest hereon on or after the respective due dates expressed herein.</w:t>
      </w:r>
    </w:p>
    <w:p>
      <w:pPr>
        <w:spacing w:after="0" w:line="181" w:lineRule="exact"/>
        <w:rPr>
          <w:sz w:val="20"/>
          <w:szCs w:val="20"/>
          <w:color w:val="auto"/>
        </w:rPr>
      </w:pPr>
    </w:p>
    <w:p>
      <w:pPr>
        <w:ind w:right="120" w:firstLine="749"/>
        <w:spacing w:after="0" w:line="244" w:lineRule="auto"/>
        <w:rPr>
          <w:sz w:val="20"/>
          <w:szCs w:val="20"/>
          <w:color w:val="auto"/>
        </w:rPr>
      </w:pPr>
      <w:r>
        <w:rPr>
          <w:rFonts w:ascii="Times New Roman" w:cs="Times New Roman" w:eastAsia="Times New Roman" w:hAnsi="Times New Roman"/>
          <w:sz w:val="22"/>
          <w:szCs w:val="22"/>
          <w:color w:val="auto"/>
        </w:rPr>
        <w:t>No reference herein to the Indenture and no provision of this Note or of the Indenture shall alter or impair the obligation of the Company, which is absolute and unconditional, to pay the principal of and any premium and interest on this Note at the times, place and rate, and in the coin or currency, herein prescribed.</w:t>
      </w:r>
    </w:p>
    <w:p>
      <w:pPr>
        <w:spacing w:after="0" w:line="172" w:lineRule="exact"/>
        <w:rPr>
          <w:sz w:val="20"/>
          <w:szCs w:val="20"/>
          <w:color w:val="auto"/>
        </w:rPr>
      </w:pPr>
    </w:p>
    <w:p>
      <w:pPr>
        <w:ind w:right="140" w:firstLine="749"/>
        <w:spacing w:after="0" w:line="264" w:lineRule="auto"/>
        <w:rPr>
          <w:sz w:val="20"/>
          <w:szCs w:val="20"/>
          <w:color w:val="auto"/>
        </w:rPr>
      </w:pPr>
      <w:r>
        <w:rPr>
          <w:rFonts w:ascii="Times New Roman" w:cs="Times New Roman" w:eastAsia="Times New Roman" w:hAnsi="Times New Roman"/>
          <w:sz w:val="20"/>
          <w:szCs w:val="20"/>
          <w:color w:val="auto"/>
        </w:rPr>
        <w:t>As provided in the Indenture and subject to certain limitations therein set forth, the transfer of this Note is registrable in the Security Register, upon surrender of this Note for registration of transfer at the office or agency of the Company in any place where the principal of and any premium and interest on this Note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54" w:lineRule="exact"/>
        <w:rPr>
          <w:sz w:val="20"/>
          <w:szCs w:val="20"/>
          <w:color w:val="auto"/>
        </w:rPr>
      </w:pPr>
    </w:p>
    <w:p>
      <w:pPr>
        <w:ind w:right="180" w:firstLine="749"/>
        <w:spacing w:after="0" w:line="239" w:lineRule="auto"/>
        <w:rPr>
          <w:sz w:val="20"/>
          <w:szCs w:val="20"/>
          <w:color w:val="auto"/>
        </w:rPr>
      </w:pPr>
      <w:r>
        <w:rPr>
          <w:rFonts w:ascii="Times New Roman" w:cs="Times New Roman" w:eastAsia="Times New Roman" w:hAnsi="Times New Roman"/>
          <w:sz w:val="22"/>
          <w:szCs w:val="22"/>
          <w:color w:val="auto"/>
        </w:rPr>
        <w:t>The Notes of this series are issuable only in registered form without coupons in minimum denominations of $2,000 and integral amounts of $1,000 in excess thereof. As provided in the Indenture and subject to certain limitations therein set forth, Securities of this series are exchangeable for a like aggregate principal amount of Notes of this series and of like tenor of a different authorized denomination, as requested by the Holder surrendering the same.</w:t>
      </w:r>
    </w:p>
    <w:p>
      <w:pPr>
        <w:spacing w:after="0" w:line="17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No service charge shall be made for any such registration of transfer or exchange, but the Company may require payment of a sum sufficient to cover any tax or other governmental charge payable in connection therewith.</w:t>
      </w:r>
    </w:p>
    <w:p>
      <w:pPr>
        <w:spacing w:after="0" w:line="157" w:lineRule="exact"/>
        <w:rPr>
          <w:sz w:val="20"/>
          <w:szCs w:val="20"/>
          <w:color w:val="auto"/>
        </w:rPr>
      </w:pPr>
    </w:p>
    <w:p>
      <w:pPr>
        <w:ind w:right="80" w:firstLine="749"/>
        <w:spacing w:after="0" w:line="280" w:lineRule="auto"/>
        <w:rPr>
          <w:sz w:val="20"/>
          <w:szCs w:val="20"/>
          <w:color w:val="auto"/>
        </w:rPr>
      </w:pPr>
      <w:r>
        <w:rPr>
          <w:rFonts w:ascii="Times New Roman" w:cs="Times New Roman" w:eastAsia="Times New Roman" w:hAnsi="Times New Roman"/>
          <w:sz w:val="20"/>
          <w:szCs w:val="20"/>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3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22"/>
          <w:szCs w:val="22"/>
          <w:color w:val="auto"/>
        </w:rPr>
        <w:t>THE SECURITIES OF THIS SERIES SHALL BE GOVERNED BY AND CONSTRUED IN ACCORDANCE WITH THE LAWS OF THE STATE OF NEW YORK.</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All terms used in this Note which are defined in the Indenture shall have the meanings assigned to them in the Indenture.</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477520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 Powell Brown, certify that:</w:t>
      </w:r>
    </w:p>
    <w:p>
      <w:pPr>
        <w:spacing w:after="0" w:line="225"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Brown &amp; Brown, Inc. (the “Registrant”) on Form 10-Q for the quarter ended June 30, 2024;</w:t>
      </w:r>
    </w:p>
    <w:p>
      <w:pPr>
        <w:spacing w:after="0" w:line="224" w:lineRule="exact"/>
        <w:rPr>
          <w:rFonts w:ascii="Times New Roman" w:cs="Times New Roman" w:eastAsia="Times New Roman" w:hAnsi="Times New Roman"/>
          <w:sz w:val="18"/>
          <w:szCs w:val="18"/>
          <w:color w:val="auto"/>
        </w:rPr>
      </w:pPr>
    </w:p>
    <w:p>
      <w:pPr>
        <w:jc w:val="both"/>
        <w:ind w:left="380" w:right="420" w:hanging="372"/>
        <w:spacing w:after="0" w:line="265" w:lineRule="auto"/>
        <w:tabs>
          <w:tab w:leader="none" w:pos="3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right="380" w:hanging="372"/>
        <w:spacing w:after="0" w:line="281" w:lineRule="auto"/>
        <w:tabs>
          <w:tab w:leader="none" w:pos="3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3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760" w:right="280" w:hanging="365"/>
        <w:spacing w:after="0" w:line="265" w:lineRule="auto"/>
        <w:tabs>
          <w:tab w:leader="none" w:pos="75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760" w:right="600" w:hanging="365"/>
        <w:spacing w:after="0" w:line="265" w:lineRule="auto"/>
        <w:tabs>
          <w:tab w:leader="none" w:pos="75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760" w:right="740" w:hanging="365"/>
        <w:spacing w:after="0" w:line="312" w:lineRule="auto"/>
        <w:tabs>
          <w:tab w:leader="none" w:pos="758"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760" w:right="160" w:hanging="365"/>
        <w:spacing w:after="0" w:line="265" w:lineRule="auto"/>
        <w:tabs>
          <w:tab w:leader="none" w:pos="75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right="240" w:hanging="372"/>
        <w:spacing w:after="0" w:line="281" w:lineRule="auto"/>
        <w:tabs>
          <w:tab w:leader="none" w:pos="36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60" w:right="200" w:hanging="365"/>
        <w:spacing w:after="0" w:line="281" w:lineRule="auto"/>
        <w:tabs>
          <w:tab w:leader="none" w:pos="75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760" w:right="80" w:hanging="365"/>
        <w:spacing w:after="0" w:line="281" w:lineRule="auto"/>
        <w:tabs>
          <w:tab w:leader="none" w:pos="75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22, 2024</w:t>
      </w:r>
    </w:p>
    <w:p>
      <w:pPr>
        <w:spacing w:after="0" w:line="27"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22860</wp:posOffset>
            </wp:positionV>
            <wp:extent cx="285115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0">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 Powell Brown</w:t>
      </w:r>
    </w:p>
    <w:p>
      <w:pPr>
        <w:spacing w:after="0" w:line="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 Andrew Watts, certify that:</w:t>
      </w:r>
    </w:p>
    <w:p>
      <w:pPr>
        <w:spacing w:after="0" w:line="225"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Brown &amp; Brown, Inc. (the “Registrant”) on Form 10-Q for the quarter ended June 30, 2024;</w:t>
      </w:r>
    </w:p>
    <w:p>
      <w:pPr>
        <w:spacing w:after="0" w:line="224" w:lineRule="exact"/>
        <w:rPr>
          <w:rFonts w:ascii="Times New Roman" w:cs="Times New Roman" w:eastAsia="Times New Roman" w:hAnsi="Times New Roman"/>
          <w:sz w:val="18"/>
          <w:szCs w:val="18"/>
          <w:color w:val="auto"/>
        </w:rPr>
      </w:pPr>
    </w:p>
    <w:p>
      <w:pPr>
        <w:jc w:val="both"/>
        <w:ind w:left="380" w:right="420" w:hanging="372"/>
        <w:spacing w:after="0" w:line="265" w:lineRule="auto"/>
        <w:tabs>
          <w:tab w:leader="none" w:pos="3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right="380" w:hanging="372"/>
        <w:spacing w:after="0" w:line="281" w:lineRule="auto"/>
        <w:tabs>
          <w:tab w:leader="none" w:pos="3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3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jc w:val="both"/>
        <w:ind w:left="760" w:right="280" w:hanging="365"/>
        <w:spacing w:after="0" w:line="265" w:lineRule="auto"/>
        <w:tabs>
          <w:tab w:leader="none" w:pos="75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760" w:right="600" w:hanging="365"/>
        <w:spacing w:after="0" w:line="265" w:lineRule="auto"/>
        <w:tabs>
          <w:tab w:leader="none" w:pos="75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jc w:val="both"/>
        <w:ind w:left="760" w:right="740" w:hanging="365"/>
        <w:spacing w:after="0" w:line="312" w:lineRule="auto"/>
        <w:tabs>
          <w:tab w:leader="none" w:pos="758"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760" w:right="160" w:hanging="365"/>
        <w:spacing w:after="0" w:line="265" w:lineRule="auto"/>
        <w:tabs>
          <w:tab w:leader="none" w:pos="75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right="240" w:hanging="372"/>
        <w:spacing w:after="0" w:line="281" w:lineRule="auto"/>
        <w:tabs>
          <w:tab w:leader="none" w:pos="3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760" w:right="200" w:hanging="365"/>
        <w:spacing w:after="0" w:line="281" w:lineRule="auto"/>
        <w:tabs>
          <w:tab w:leader="none" w:pos="75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760" w:right="80" w:hanging="365"/>
        <w:spacing w:after="0" w:line="281" w:lineRule="auto"/>
        <w:tabs>
          <w:tab w:leader="none" w:pos="758"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22, 2024</w:t>
      </w:r>
    </w:p>
    <w:p>
      <w:pPr>
        <w:spacing w:after="0" w:line="26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4286250</wp:posOffset>
            </wp:positionH>
            <wp:positionV relativeFrom="paragraph">
              <wp:posOffset>26035</wp:posOffset>
            </wp:positionV>
            <wp:extent cx="285115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2">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 Andrew Watts</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1350 of Title 18 of the United States Code,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6"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Brown &amp; Brown, Inc. (the “Company”) on Form 10-Q for the quarter ended June 30, 2024, as filed with the Securities and Exchange Commission on the date hereof (the “Form 10-Q”), I, J. Powell Brown, Chief Executive Officer of the Company, hereby certify, pursuant to 18 U.S.C. Section 1350, as adopted pursuant to Section 906 of the Sarbanes-Oxley Act of 2002, that:</w:t>
      </w:r>
    </w:p>
    <w:p>
      <w:pPr>
        <w:spacing w:after="0" w:line="177" w:lineRule="exact"/>
        <w:rPr>
          <w:sz w:val="20"/>
          <w:szCs w:val="20"/>
          <w:color w:val="auto"/>
        </w:rPr>
      </w:pPr>
    </w:p>
    <w:p>
      <w:pPr>
        <w:ind w:left="380" w:right="80" w:hanging="372"/>
        <w:spacing w:after="0" w:line="281" w:lineRule="auto"/>
        <w:tabs>
          <w:tab w:leader="none" w:pos="3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(15 U.S.C. § 78m or § 78o(d)); and</w:t>
      </w:r>
    </w:p>
    <w:p>
      <w:pPr>
        <w:spacing w:after="0" w:line="162" w:lineRule="exact"/>
        <w:rPr>
          <w:rFonts w:ascii="Times New Roman" w:cs="Times New Roman" w:eastAsia="Times New Roman" w:hAnsi="Times New Roman"/>
          <w:sz w:val="18"/>
          <w:szCs w:val="18"/>
          <w:color w:val="auto"/>
        </w:rPr>
      </w:pPr>
    </w:p>
    <w:p>
      <w:pPr>
        <w:ind w:right="120" w:firstLine="8"/>
        <w:spacing w:after="0" w:line="531" w:lineRule="auto"/>
        <w:tabs>
          <w:tab w:leader="none" w:pos="3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Dated: July 22, 2024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J. Powell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115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4">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J. Powell Brown</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Section 1350 of Title 18 of the United States Code,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06"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Brown &amp; Brown, Inc. (the “Company”) on Form 10-Q for the quarter ended June 30, 2024, as filed with the Securities and Exchange Commission on the date hereof (the “Form 10-Q”), I, R. Andrew Watts, Chief Financial Officer of the Company, hereby certify, pursuant to 18 U.S.C. Section 1350, as adopted pursuant to Section 906 of the Sarbanes-Oxley Act of 2002, that:</w:t>
      </w:r>
    </w:p>
    <w:p>
      <w:pPr>
        <w:spacing w:after="0" w:line="177" w:lineRule="exact"/>
        <w:rPr>
          <w:sz w:val="20"/>
          <w:szCs w:val="20"/>
          <w:color w:val="auto"/>
        </w:rPr>
      </w:pPr>
    </w:p>
    <w:p>
      <w:pPr>
        <w:ind w:left="380" w:right="80" w:hanging="372"/>
        <w:spacing w:after="0" w:line="281" w:lineRule="auto"/>
        <w:tabs>
          <w:tab w:leader="none" w:pos="36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(15 U.S.C. § 78m or § 78o(d)); and</w:t>
      </w:r>
    </w:p>
    <w:p>
      <w:pPr>
        <w:spacing w:after="0" w:line="162" w:lineRule="exact"/>
        <w:rPr>
          <w:rFonts w:ascii="Times New Roman" w:cs="Times New Roman" w:eastAsia="Times New Roman" w:hAnsi="Times New Roman"/>
          <w:sz w:val="18"/>
          <w:szCs w:val="18"/>
          <w:color w:val="auto"/>
        </w:rPr>
      </w:pPr>
    </w:p>
    <w:p>
      <w:pPr>
        <w:ind w:right="120" w:firstLine="8"/>
        <w:spacing w:after="0" w:line="531" w:lineRule="auto"/>
        <w:tabs>
          <w:tab w:leader="none" w:pos="3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Dated: July 22, 2024</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 Andrew Watts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285115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6">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 Andrew Watts</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Vice President, Chief Financial Officer and</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8" w:name="page69"/>
    <w:bookmarkEnd w:id="6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lowerRoman"/>
      <w:start w:val="2"/>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decimal"/>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01"/>
    </w:lvl>
  </w:abstractNum>
  <w:abstractNum w:abstractNumId="27">
    <w:nsid w:val="5E884ADC"/>
    <w:multiLevelType w:val="hybridMultilevel"/>
    <w:lvl w:ilvl="0">
      <w:lvlJc w:val="left"/>
      <w:lvlText w:val="%1"/>
      <w:numFmt w:val="decimal"/>
      <w:start w:val="104"/>
    </w:lvl>
  </w:abstractNum>
  <w:abstractNum w:abstractNumId="28">
    <w:nsid w:val="51EAD36B"/>
    <w:multiLevelType w:val="hybridMultilevel"/>
    <w:lvl w:ilvl="0">
      <w:lvlJc w:val="left"/>
      <w:lvlText w:val="(%1)"/>
      <w:numFmt w:val="lowerLetter"/>
      <w:start w:val="9"/>
    </w:lvl>
    <w:lvl w:ilvl="1">
      <w:lvlJc w:val="left"/>
      <w:lvlText w:val="(%2)"/>
      <w:numFmt w:val="lowerLetter"/>
      <w:start w:val="1"/>
    </w:lvl>
  </w:abstractNum>
  <w:abstractNum w:abstractNumId="29">
    <w:nsid w:val="2D517796"/>
    <w:multiLevelType w:val="hybridMultilevel"/>
    <w:lvl w:ilvl="0">
      <w:lvlJc w:val="left"/>
      <w:lvlText w:val="(%1)"/>
      <w:numFmt w:val="decimal"/>
      <w:start w:val="1"/>
    </w:lvl>
  </w:abstractNum>
  <w:abstractNum w:abstractNumId="30">
    <w:nsid w:val="580BD78F"/>
    <w:multiLevelType w:val="hybridMultilevel"/>
    <w:lvl w:ilvl="0">
      <w:lvlJc w:val="left"/>
      <w:lvlText w:val="(%1)"/>
      <w:numFmt w:val="decimal"/>
      <w:start w:val="3"/>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Roman"/>
      <w:start w:val="1"/>
    </w:lvl>
  </w:abstractNum>
  <w:abstractNum w:abstractNumId="34">
    <w:nsid w:val="6A2342EC"/>
    <w:multiLevelType w:val="hybridMultilevel"/>
    <w:lvl w:ilvl="0">
      <w:lvlJc w:val="left"/>
      <w:lvlText w:val="(%1)"/>
      <w:numFmt w:val="lowerLetter"/>
      <w:start w:val="7"/>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2"/>
    </w:lvl>
  </w:abstractNum>
  <w:abstractNum w:abstractNumId="37">
    <w:nsid w:val="725A06FB"/>
    <w:multiLevelType w:val="hybridMultilevel"/>
    <w:lvl w:ilvl="0">
      <w:lvlJc w:val="left"/>
      <w:lvlText w:val="(%1)"/>
      <w:numFmt w:val="lowerLetter"/>
      <w:start w:val="1"/>
    </w:lvl>
    <w:lvl w:ilvl="1">
      <w:lvlJc w:val="left"/>
      <w:lvlText w:val="(%2)"/>
      <w:numFmt w:val="lowerRoman"/>
      <w:start w:val="1"/>
    </w:lvl>
  </w:abstractNum>
  <w:abstractNum w:abstractNumId="38">
    <w:nsid w:val="2CD89A32"/>
    <w:multiLevelType w:val="hybridMultilevel"/>
    <w:lvl w:ilvl="0">
      <w:lvlJc w:val="left"/>
      <w:lvlText w:val="(%1)"/>
      <w:numFmt w:val="lowerLetter"/>
      <w:start w:val="2"/>
    </w:lvl>
  </w:abstractNum>
  <w:abstractNum w:abstractNumId="39">
    <w:nsid w:val="57E4CCAF"/>
    <w:multiLevelType w:val="hybridMultilevel"/>
    <w:lvl w:ilvl="0">
      <w:lvlJc w:val="left"/>
      <w:lvlText w:val="(%1)"/>
      <w:numFmt w:val="lowerLetter"/>
      <w:start w:val="5"/>
    </w:lvl>
  </w:abstractNum>
  <w:abstractNum w:abstractNumId="40">
    <w:nsid w:val="7A6D8D3C"/>
    <w:multiLevelType w:val="hybridMultilevel"/>
    <w:lvl w:ilvl="0">
      <w:lvlJc w:val="left"/>
      <w:lvlText w:val="(%1)"/>
      <w:numFmt w:val="lowerLetter"/>
      <w:start w:val="1"/>
    </w:lvl>
  </w:abstractNum>
  <w:abstractNum w:abstractNumId="41">
    <w:nsid w:val="4B588F54"/>
    <w:multiLevelType w:val="hybridMultilevel"/>
    <w:lvl w:ilvl="0">
      <w:lvlJc w:val="left"/>
      <w:lvlText w:val="(%1)"/>
      <w:numFmt w:val="decimal"/>
      <w:start w:val="1"/>
    </w:lvl>
  </w:abstractNum>
  <w:abstractNum w:abstractNumId="42">
    <w:nsid w:val="542289EC"/>
    <w:multiLevelType w:val="hybridMultilevel"/>
    <w:lvl w:ilvl="0">
      <w:lvlJc w:val="left"/>
      <w:lvlText w:val="(%1)"/>
      <w:numFmt w:val="lowerLetter"/>
      <w:start w:val="1"/>
    </w:lvl>
  </w:abstractNum>
  <w:abstractNum w:abstractNumId="43">
    <w:nsid w:val="6DE91B18"/>
    <w:multiLevelType w:val="hybridMultilevel"/>
    <w:lvl w:ilvl="0">
      <w:lvlJc w:val="left"/>
      <w:lvlText w:val="(%1)"/>
      <w:numFmt w:val="lowerLetter"/>
      <w:start w:val="2"/>
    </w:lvl>
    <w:lvl w:ilvl="1">
      <w:lvlJc w:val="left"/>
      <w:lvlText w:val="(%2)"/>
      <w:numFmt w:val="lowerRoman"/>
      <w:start w:val="1"/>
    </w:lvl>
  </w:abstractNum>
  <w:abstractNum w:abstractNumId="44">
    <w:nsid w:val="38437FDB"/>
    <w:multiLevelType w:val="hybridMultilevel"/>
    <w:lvl w:ilvl="0">
      <w:lvlJc w:val="left"/>
      <w:lvlText w:val="(%1)"/>
      <w:numFmt w:val="lowerLetter"/>
      <w:start w:val="5"/>
    </w:lvl>
  </w:abstractNum>
  <w:abstractNum w:abstractNumId="45">
    <w:nsid w:val="7644A45C"/>
    <w:multiLevelType w:val="hybridMultilevel"/>
    <w:lvl w:ilvl="0">
      <w:lvlJc w:val="left"/>
      <w:lvlText w:val="&amp;"/>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0" Type="http://schemas.openxmlformats.org/officeDocument/2006/relationships/image" Target="media/image369.png"/><Relationship Id="rId381" Type="http://schemas.openxmlformats.org/officeDocument/2006/relationships/image" Target="media/image370.png"/><Relationship Id="rId382" Type="http://schemas.openxmlformats.org/officeDocument/2006/relationships/image" Target="media/image371.png"/><Relationship Id="rId383" Type="http://schemas.openxmlformats.org/officeDocument/2006/relationships/image" Target="media/image372.png"/><Relationship Id="rId384" Type="http://schemas.openxmlformats.org/officeDocument/2006/relationships/image" Target="media/image373.png"/><Relationship Id="rId385" Type="http://schemas.openxmlformats.org/officeDocument/2006/relationships/image" Target="media/image374.png"/><Relationship Id="rId386" Type="http://schemas.openxmlformats.org/officeDocument/2006/relationships/image" Target="media/image375.png"/><Relationship Id="rId387" Type="http://schemas.openxmlformats.org/officeDocument/2006/relationships/image" Target="media/image376.png"/><Relationship Id="rId388" Type="http://schemas.openxmlformats.org/officeDocument/2006/relationships/image" Target="media/image377.png"/><Relationship Id="rId389" Type="http://schemas.openxmlformats.org/officeDocument/2006/relationships/image" Target="media/image378.png"/><Relationship Id="rId390" Type="http://schemas.openxmlformats.org/officeDocument/2006/relationships/image" Target="media/image379.png"/><Relationship Id="rId391" Type="http://schemas.openxmlformats.org/officeDocument/2006/relationships/image" Target="media/image380.png"/><Relationship Id="rId392" Type="http://schemas.openxmlformats.org/officeDocument/2006/relationships/image" Target="media/image381.png"/><Relationship Id="rId393" Type="http://schemas.openxmlformats.org/officeDocument/2006/relationships/image" Target="media/image382.png"/><Relationship Id="rId394" Type="http://schemas.openxmlformats.org/officeDocument/2006/relationships/image" Target="media/image383.png"/><Relationship Id="rId395" Type="http://schemas.openxmlformats.org/officeDocument/2006/relationships/image" Target="media/image384.png"/><Relationship Id="rId396" Type="http://schemas.openxmlformats.org/officeDocument/2006/relationships/image" Target="media/image385.png"/><Relationship Id="rId397" Type="http://schemas.openxmlformats.org/officeDocument/2006/relationships/image" Target="media/image386.png"/><Relationship Id="rId398" Type="http://schemas.openxmlformats.org/officeDocument/2006/relationships/image" Target="media/image387.png"/><Relationship Id="rId399" Type="http://schemas.openxmlformats.org/officeDocument/2006/relationships/image" Target="media/image388.png"/><Relationship Id="rId400" Type="http://schemas.openxmlformats.org/officeDocument/2006/relationships/image" Target="media/image389.png"/><Relationship Id="rId401" Type="http://schemas.openxmlformats.org/officeDocument/2006/relationships/image" Target="media/image390.png"/><Relationship Id="rId402" Type="http://schemas.openxmlformats.org/officeDocument/2006/relationships/image" Target="media/image391.png"/><Relationship Id="rId403" Type="http://schemas.openxmlformats.org/officeDocument/2006/relationships/image" Target="media/image392.png"/><Relationship Id="rId404" Type="http://schemas.openxmlformats.org/officeDocument/2006/relationships/image" Target="media/image393.png"/><Relationship Id="rId405" Type="http://schemas.openxmlformats.org/officeDocument/2006/relationships/image" Target="media/image394.png"/><Relationship Id="rId406" Type="http://schemas.openxmlformats.org/officeDocument/2006/relationships/image" Target="media/image395.png"/><Relationship Id="rId407" Type="http://schemas.openxmlformats.org/officeDocument/2006/relationships/image" Target="media/image396.png"/><Relationship Id="rId367" Type="http://schemas.openxmlformats.org/officeDocument/2006/relationships/hyperlink" Target="https://www.sec.gov/ix?doc=/Archives/edgar/data/79282/000119312524155242/d630650d8k.htm" TargetMode="External"/><Relationship Id="rId368" Type="http://schemas.openxmlformats.org/officeDocument/2006/relationships/hyperlink" Target="https://www.sec.gov/Archives/edgar/data/79282/000095017023000930/bro-ex3_1.htm" TargetMode="External"/><Relationship Id="rId369" Type="http://schemas.openxmlformats.org/officeDocument/2006/relationships/hyperlink" Target="https://www.sec.gov/Archives/edgar/data/79282/000095017023000930/bro-ex3_2.htm" TargetMode="External"/><Relationship Id="rId370" Type="http://schemas.openxmlformats.org/officeDocument/2006/relationships/hyperlink" Target="https://www.sec.gov/ix?doc=/Archives/edgar/data/79282/000119312524159210/d750800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2024-07-22T16:43:09Z</dcterms:created>
  <dcterms:modified xsi:type="dcterms:W3CDTF">2024-07-22T16:43:09Z</dcterms:modified>
</cp:coreProperties>
</file>