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As filed with the Securities and Exchange Commission on March 4, 2009</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6"/>
          <w:szCs w:val="16"/>
          <w:b w:val="1"/>
          <w:bCs w:val="1"/>
          <w:color w:val="auto"/>
        </w:rPr>
        <w:t>Registration No. 333-______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74295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BROWN &amp; BROWN,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1680" w:type="dxa"/>
        <w:tblCellMar>
          <w:top w:w="0" w:type="dxa"/>
          <w:left w:w="0" w:type="dxa"/>
          <w:bottom w:w="0" w:type="dxa"/>
          <w:right w:w="0" w:type="dxa"/>
        </w:tblCellMar>
      </w:tblPr>
      <w:tr>
        <w:trPr>
          <w:trHeight w:val="220"/>
        </w:trPr>
        <w:tc>
          <w:tcPr>
            <w:tcW w:w="4280" w:type="dxa"/>
            <w:vAlign w:val="bottom"/>
          </w:tcPr>
          <w:p>
            <w:pPr>
              <w:jc w:val="center"/>
              <w:ind w:right="1830"/>
              <w:spacing w:after="0"/>
              <w:rPr>
                <w:sz w:val="20"/>
                <w:szCs w:val="20"/>
                <w:color w:val="auto"/>
              </w:rPr>
            </w:pPr>
            <w:r>
              <w:rPr>
                <w:rFonts w:ascii="Arial" w:cs="Arial" w:eastAsia="Arial" w:hAnsi="Arial"/>
                <w:sz w:val="18"/>
                <w:szCs w:val="18"/>
                <w:b w:val="1"/>
                <w:bCs w:val="1"/>
                <w:color w:val="auto"/>
                <w:w w:val="93"/>
              </w:rPr>
              <w:t>Florida</w:t>
            </w:r>
          </w:p>
        </w:tc>
        <w:tc>
          <w:tcPr>
            <w:tcW w:w="3280" w:type="dxa"/>
            <w:vAlign w:val="bottom"/>
          </w:tcPr>
          <w:p>
            <w:pPr>
              <w:jc w:val="center"/>
              <w:ind w:left="1830"/>
              <w:spacing w:after="0"/>
              <w:rPr>
                <w:sz w:val="20"/>
                <w:szCs w:val="20"/>
                <w:color w:val="auto"/>
              </w:rPr>
            </w:pPr>
            <w:r>
              <w:rPr>
                <w:rFonts w:ascii="Arial" w:cs="Arial" w:eastAsia="Arial" w:hAnsi="Arial"/>
                <w:sz w:val="18"/>
                <w:szCs w:val="18"/>
                <w:b w:val="1"/>
                <w:bCs w:val="1"/>
                <w:color w:val="auto"/>
                <w:w w:val="91"/>
              </w:rPr>
              <w:t>59-0864469</w:t>
            </w:r>
          </w:p>
        </w:tc>
      </w:tr>
      <w:tr>
        <w:trPr>
          <w:trHeight w:val="216"/>
        </w:trPr>
        <w:tc>
          <w:tcPr>
            <w:tcW w:w="4280" w:type="dxa"/>
            <w:vAlign w:val="bottom"/>
          </w:tcPr>
          <w:p>
            <w:pPr>
              <w:jc w:val="center"/>
              <w:ind w:right="1830"/>
              <w:spacing w:after="0"/>
              <w:rPr>
                <w:sz w:val="20"/>
                <w:szCs w:val="20"/>
                <w:color w:val="auto"/>
              </w:rPr>
            </w:pPr>
            <w:r>
              <w:rPr>
                <w:rFonts w:ascii="Arial" w:cs="Arial" w:eastAsia="Arial" w:hAnsi="Arial"/>
                <w:sz w:val="18"/>
                <w:szCs w:val="18"/>
                <w:color w:val="auto"/>
                <w:w w:val="91"/>
              </w:rPr>
              <w:t>(State or other jurisdiction</w:t>
            </w:r>
          </w:p>
        </w:tc>
        <w:tc>
          <w:tcPr>
            <w:tcW w:w="3280" w:type="dxa"/>
            <w:vAlign w:val="bottom"/>
          </w:tcPr>
          <w:p>
            <w:pPr>
              <w:jc w:val="center"/>
              <w:ind w:left="1830"/>
              <w:spacing w:after="0"/>
              <w:rPr>
                <w:sz w:val="20"/>
                <w:szCs w:val="20"/>
                <w:color w:val="auto"/>
              </w:rPr>
            </w:pPr>
            <w:r>
              <w:rPr>
                <w:rFonts w:ascii="Arial" w:cs="Arial" w:eastAsia="Arial" w:hAnsi="Arial"/>
                <w:sz w:val="18"/>
                <w:szCs w:val="18"/>
                <w:color w:val="auto"/>
                <w:w w:val="93"/>
              </w:rPr>
              <w:t>(I.R.S. Employer</w:t>
            </w:r>
          </w:p>
        </w:tc>
      </w:tr>
      <w:tr>
        <w:trPr>
          <w:trHeight w:val="230"/>
        </w:trPr>
        <w:tc>
          <w:tcPr>
            <w:tcW w:w="4280" w:type="dxa"/>
            <w:vAlign w:val="bottom"/>
          </w:tcPr>
          <w:p>
            <w:pPr>
              <w:jc w:val="center"/>
              <w:ind w:right="1830"/>
              <w:spacing w:after="0"/>
              <w:rPr>
                <w:sz w:val="20"/>
                <w:szCs w:val="20"/>
                <w:color w:val="auto"/>
              </w:rPr>
            </w:pPr>
            <w:r>
              <w:rPr>
                <w:rFonts w:ascii="Arial" w:cs="Arial" w:eastAsia="Arial" w:hAnsi="Arial"/>
                <w:sz w:val="18"/>
                <w:szCs w:val="18"/>
                <w:color w:val="auto"/>
                <w:w w:val="92"/>
              </w:rPr>
              <w:t>of incorporation or organization)</w:t>
            </w:r>
          </w:p>
        </w:tc>
        <w:tc>
          <w:tcPr>
            <w:tcW w:w="3280" w:type="dxa"/>
            <w:vAlign w:val="bottom"/>
          </w:tcPr>
          <w:p>
            <w:pPr>
              <w:jc w:val="center"/>
              <w:ind w:left="1850"/>
              <w:spacing w:after="0"/>
              <w:rPr>
                <w:sz w:val="20"/>
                <w:szCs w:val="20"/>
                <w:color w:val="auto"/>
              </w:rPr>
            </w:pPr>
            <w:r>
              <w:rPr>
                <w:rFonts w:ascii="Arial" w:cs="Arial" w:eastAsia="Arial" w:hAnsi="Arial"/>
                <w:sz w:val="18"/>
                <w:szCs w:val="18"/>
                <w:color w:val="auto"/>
                <w:w w:val="95"/>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68580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220 South Ridgewood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Daytona Beach, Florida 32114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(386) 252-9601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including 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Laurel L. Grammig,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Secretary and Chief Corporate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Brown &amp; Brown,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3101 W. Martin Luther King, Jr. Blvd., Ste. 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Tampa, Florida 33607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(813) 222-4277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74295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of all communications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Chester E. Bacheller,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Holland &amp; Knight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North Tampa Street, Suite 4100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Tampa, Florida 33602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Phone: (813) 227-8500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(813) 229-0134</w:t>
      </w:r>
    </w:p>
    <w:p>
      <w:pPr>
        <w:spacing w:after="0" w:line="234" w:lineRule="exact"/>
        <w:rPr>
          <w:sz w:val="24"/>
          <w:szCs w:val="24"/>
          <w:color w:val="auto"/>
        </w:rPr>
      </w:pPr>
    </w:p>
    <w:p>
      <w:pPr>
        <w:ind w:left="90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255270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box. o</w:t>
      </w:r>
    </w:p>
    <w:p>
      <w:pPr>
        <w:spacing w:after="0" w:line="238" w:lineRule="exact"/>
        <w:rPr>
          <w:sz w:val="24"/>
          <w:szCs w:val="24"/>
          <w:color w:val="auto"/>
        </w:rPr>
      </w:pPr>
    </w:p>
    <w:p>
      <w:pPr>
        <w:ind w:right="40" w:firstLine="450"/>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97" w:lineRule="exact"/>
        <w:rPr>
          <w:sz w:val="24"/>
          <w:szCs w:val="24"/>
          <w:color w:val="auto"/>
        </w:rPr>
      </w:pPr>
    </w:p>
    <w:p>
      <w:pPr>
        <w:ind w:right="40" w:firstLine="450"/>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7" w:lineRule="exact"/>
        <w:rPr>
          <w:sz w:val="24"/>
          <w:szCs w:val="24"/>
          <w:color w:val="auto"/>
        </w:rPr>
      </w:pPr>
    </w:p>
    <w:p>
      <w:pPr>
        <w:ind w:right="260" w:firstLine="450"/>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7" w:lineRule="exact"/>
        <w:rPr>
          <w:sz w:val="24"/>
          <w:szCs w:val="24"/>
          <w:color w:val="auto"/>
        </w:rPr>
      </w:pPr>
    </w:p>
    <w:p>
      <w:pPr>
        <w:ind w:firstLine="450"/>
        <w:spacing w:after="0" w:line="277"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 w:name="page2"/>
    <w:bookmarkEnd w:id="1"/>
    <w:p>
      <w:pPr>
        <w:ind w:right="180" w:firstLine="450"/>
        <w:spacing w:after="0" w:line="277"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ind w:left="2280"/>
              <w:spacing w:after="0"/>
              <w:rPr>
                <w:sz w:val="20"/>
                <w:szCs w:val="20"/>
                <w:color w:val="auto"/>
              </w:rPr>
            </w:pPr>
            <w:r>
              <w:rPr>
                <w:rFonts w:ascii="Arial" w:cs="Arial" w:eastAsia="Arial" w:hAnsi="Arial"/>
                <w:sz w:val="18"/>
                <w:szCs w:val="18"/>
                <w:color w:val="auto"/>
                <w:w w:val="90"/>
              </w:rPr>
              <w:t>Large accelerated filer x</w:t>
            </w: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20" w:type="dxa"/>
            <w:vAlign w:val="bottom"/>
          </w:tcPr>
          <w:p>
            <w:pPr>
              <w:ind w:left="420"/>
              <w:spacing w:after="0"/>
              <w:rPr>
                <w:sz w:val="20"/>
                <w:szCs w:val="20"/>
                <w:color w:val="auto"/>
              </w:rPr>
            </w:pPr>
            <w:r>
              <w:rPr>
                <w:rFonts w:ascii="Arial" w:cs="Arial" w:eastAsia="Arial" w:hAnsi="Arial"/>
                <w:sz w:val="18"/>
                <w:szCs w:val="18"/>
                <w:color w:val="auto"/>
                <w:w w:val="97"/>
              </w:rPr>
              <w:t>Accelerated filer</w:t>
            </w:r>
          </w:p>
        </w:tc>
        <w:tc>
          <w:tcPr>
            <w:tcW w:w="2180" w:type="dxa"/>
            <w:vAlign w:val="bottom"/>
          </w:tcPr>
          <w:p>
            <w:pPr>
              <w:ind w:left="860"/>
              <w:spacing w:after="0"/>
              <w:rPr>
                <w:sz w:val="20"/>
                <w:szCs w:val="20"/>
                <w:color w:val="auto"/>
              </w:rPr>
            </w:pPr>
            <w:r>
              <w:rPr>
                <w:rFonts w:ascii="Arial" w:cs="Arial" w:eastAsia="Arial" w:hAnsi="Arial"/>
                <w:sz w:val="18"/>
                <w:szCs w:val="18"/>
                <w:color w:val="auto"/>
              </w:rPr>
              <w:t>o</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ind w:left="2280"/>
              <w:spacing w:after="0"/>
              <w:rPr>
                <w:sz w:val="20"/>
                <w:szCs w:val="20"/>
                <w:color w:val="auto"/>
              </w:rPr>
            </w:pPr>
            <w:r>
              <w:rPr>
                <w:rFonts w:ascii="Arial" w:cs="Arial" w:eastAsia="Arial" w:hAnsi="Arial"/>
                <w:sz w:val="18"/>
                <w:szCs w:val="18"/>
                <w:color w:val="auto"/>
                <w:w w:val="93"/>
              </w:rPr>
              <w:t>Non-accelerated filer  o</w:t>
            </w: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color w:val="auto"/>
              </w:rPr>
              <w:t>Smaller reporting company  o</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940" w:type="dxa"/>
            <w:vAlign w:val="bottom"/>
            <w:gridSpan w:val="3"/>
          </w:tcPr>
          <w:p>
            <w:pPr>
              <w:ind w:left="40"/>
              <w:spacing w:after="0"/>
              <w:rPr>
                <w:sz w:val="20"/>
                <w:szCs w:val="20"/>
                <w:color w:val="auto"/>
              </w:rPr>
            </w:pPr>
            <w:r>
              <w:rPr>
                <w:rFonts w:ascii="Arial" w:cs="Arial" w:eastAsia="Arial" w:hAnsi="Arial"/>
                <w:sz w:val="18"/>
                <w:szCs w:val="18"/>
                <w:color w:val="auto"/>
              </w:rPr>
              <w:t>CALCULATION OF REGISTRATION FEE</w:t>
            </w:r>
          </w:p>
        </w:tc>
        <w:tc>
          <w:tcPr>
            <w:tcW w:w="2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2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1720" w:type="dxa"/>
            <w:vAlign w:val="bottom"/>
            <w:vMerge w:val="continue"/>
          </w:tcPr>
          <w:p>
            <w:pPr>
              <w:spacing w:after="0"/>
              <w:rPr>
                <w:sz w:val="17"/>
                <w:szCs w:val="17"/>
                <w:color w:val="auto"/>
              </w:rPr>
            </w:pPr>
          </w:p>
        </w:tc>
        <w:tc>
          <w:tcPr>
            <w:tcW w:w="218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2"/>
              </w:rPr>
              <w:t>maximum</w:t>
            </w:r>
          </w:p>
        </w:tc>
        <w:tc>
          <w:tcPr>
            <w:tcW w:w="2180" w:type="dxa"/>
            <w:vAlign w:val="bottom"/>
            <w:tcBorders>
              <w:left w:val="single" w:sz="8" w:color="auto"/>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Proposed maximum</w:t>
            </w:r>
          </w:p>
        </w:tc>
        <w:tc>
          <w:tcPr>
            <w:tcW w:w="12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Amount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jc w:val="center"/>
              <w:ind w:left="270"/>
              <w:spacing w:after="0"/>
              <w:rPr>
                <w:sz w:val="20"/>
                <w:szCs w:val="20"/>
                <w:color w:val="auto"/>
              </w:rPr>
            </w:pPr>
            <w:r>
              <w:rPr>
                <w:rFonts w:ascii="Arial" w:cs="Arial" w:eastAsia="Arial" w:hAnsi="Arial"/>
                <w:sz w:val="18"/>
                <w:szCs w:val="18"/>
                <w:b w:val="1"/>
                <w:bCs w:val="1"/>
                <w:color w:val="auto"/>
                <w:w w:val="87"/>
              </w:rPr>
              <w:t>Title of each class of securities</w:t>
            </w:r>
          </w:p>
        </w:tc>
        <w:tc>
          <w:tcPr>
            <w:tcW w:w="4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Amount to be</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offering price</w:t>
            </w:r>
          </w:p>
        </w:tc>
        <w:tc>
          <w:tcPr>
            <w:tcW w:w="2180" w:type="dxa"/>
            <w:vAlign w:val="bottom"/>
            <w:tcBorders>
              <w:left w:val="single" w:sz="8" w:color="auto"/>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5"/>
              </w:rPr>
              <w:t>aggregate</w:t>
            </w:r>
          </w:p>
        </w:tc>
        <w:tc>
          <w:tcPr>
            <w:tcW w:w="124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registration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87"/>
              </w:rPr>
              <w:t>to be registered</w:t>
            </w:r>
          </w:p>
        </w:tc>
        <w:tc>
          <w:tcPr>
            <w:tcW w:w="40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per unit</w:t>
            </w:r>
          </w:p>
        </w:tc>
        <w:tc>
          <w:tcPr>
            <w:tcW w:w="2180" w:type="dxa"/>
            <w:vAlign w:val="bottom"/>
            <w:tcBorders>
              <w:left w:val="single" w:sz="8" w:color="auto"/>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offering price</w:t>
            </w:r>
          </w:p>
        </w:tc>
        <w:tc>
          <w:tcPr>
            <w:tcW w:w="124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4"/>
              </w:rPr>
              <w:t>fee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tcPr>
          <w:p>
            <w:pPr>
              <w:spacing w:after="0" w:line="201" w:lineRule="exact"/>
              <w:rPr>
                <w:sz w:val="20"/>
                <w:szCs w:val="20"/>
                <w:color w:val="auto"/>
              </w:rPr>
            </w:pPr>
            <w:r>
              <w:rPr>
                <w:rFonts w:ascii="Arial" w:cs="Arial" w:eastAsia="Arial" w:hAnsi="Arial"/>
                <w:sz w:val="18"/>
                <w:szCs w:val="18"/>
                <w:color w:val="auto"/>
              </w:rPr>
              <w:t>Debt Securities</w:t>
            </w:r>
          </w:p>
        </w:tc>
        <w:tc>
          <w:tcPr>
            <w:tcW w:w="40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218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Common Stock, par value $0.10 per share</w:t>
            </w:r>
          </w:p>
        </w:tc>
        <w:tc>
          <w:tcPr>
            <w:tcW w:w="4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93"/>
              </w:rPr>
              <w:t>(1) (2)</w:t>
            </w:r>
          </w:p>
        </w:tc>
        <w:tc>
          <w:tcPr>
            <w:tcW w:w="218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Warrants</w:t>
            </w:r>
          </w:p>
        </w:tc>
        <w:tc>
          <w:tcPr>
            <w:tcW w:w="40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720" w:type="dxa"/>
            <w:vAlign w:val="bottom"/>
            <w:vMerge w:val="continue"/>
          </w:tcPr>
          <w:p>
            <w:pPr>
              <w:spacing w:after="0"/>
              <w:rPr>
                <w:sz w:val="10"/>
                <w:szCs w:val="10"/>
                <w:color w:val="auto"/>
              </w:rPr>
            </w:pPr>
          </w:p>
        </w:tc>
        <w:tc>
          <w:tcPr>
            <w:tcW w:w="218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60" w:type="dxa"/>
            <w:vAlign w:val="bottom"/>
            <w:gridSpan w:val="2"/>
            <w:vMerge w:val="continue"/>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2180" w:type="dxa"/>
            <w:vAlign w:val="bottom"/>
            <w:tcBorders>
              <w:left w:val="single" w:sz="8" w:color="auto"/>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Units consisting of two or more of the above</w:t>
            </w:r>
          </w:p>
        </w:tc>
        <w:tc>
          <w:tcPr>
            <w:tcW w:w="40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2180" w:type="dxa"/>
            <w:vAlign w:val="bottom"/>
            <w:tcBorders>
              <w:left w:val="single" w:sz="8" w:color="auto"/>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-1420495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-1420495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0" w:lineRule="exact"/>
        <w:rPr>
          <w:sz w:val="20"/>
          <w:szCs w:val="20"/>
          <w:color w:val="auto"/>
        </w:rPr>
      </w:pPr>
    </w:p>
    <w:p>
      <w:pPr>
        <w:ind w:left="460" w:right="6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indeterminate aggregate initial offering price or principal amount of debt securities, common stock, warrants, and units consisting of two or more of the above, as may from time to time be issued at indeterminate prices, is being registered hereby. In accordance with Rules 456(b) and 457(r), the registrant is deferring payment of the entire registration fee.</w:t>
      </w:r>
    </w:p>
    <w:p>
      <w:pPr>
        <w:spacing w:after="0" w:line="181" w:lineRule="exact"/>
        <w:rPr>
          <w:rFonts w:ascii="Arial" w:cs="Arial" w:eastAsia="Arial" w:hAnsi="Arial"/>
          <w:sz w:val="18"/>
          <w:szCs w:val="18"/>
          <w:color w:val="auto"/>
        </w:rPr>
      </w:pPr>
    </w:p>
    <w:p>
      <w:pPr>
        <w:jc w:val="both"/>
        <w:ind w:left="460" w:right="4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Also includes such indeterminate principal amounts or number of debt securities or common stock as may be issued upon conversion of, or in exchange for, or upon exercise of, or pursuant to, warrants, or convertible or exchangeable debt securities. Separate consideration may or may not be received for any debt securities or any shares of common stock so issued upon conversion, exchange or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45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Brown &amp; Brown,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firstLine="454"/>
        <w:spacing w:after="0" w:line="277" w:lineRule="auto"/>
        <w:rPr>
          <w:sz w:val="20"/>
          <w:szCs w:val="20"/>
          <w:color w:val="auto"/>
        </w:rPr>
      </w:pPr>
      <w:r>
        <w:rPr>
          <w:rFonts w:ascii="Arial" w:cs="Arial" w:eastAsia="Arial" w:hAnsi="Arial"/>
          <w:sz w:val="18"/>
          <w:szCs w:val="18"/>
          <w:color w:val="auto"/>
        </w:rPr>
        <w:t>We may offer and sell from time to time, in one or more offerings: debt securities, common stock or warrants. Our common stock is traded on The New York Stock Exchange under the symbol “BRO.”</w:t>
      </w:r>
    </w:p>
    <w:p>
      <w:pPr>
        <w:spacing w:after="0" w:line="197" w:lineRule="exact"/>
        <w:rPr>
          <w:sz w:val="20"/>
          <w:szCs w:val="20"/>
          <w:color w:val="auto"/>
        </w:rPr>
      </w:pPr>
    </w:p>
    <w:p>
      <w:pPr>
        <w:jc w:val="both"/>
        <w:ind w:firstLine="447"/>
        <w:spacing w:after="0" w:line="264" w:lineRule="auto"/>
        <w:rPr>
          <w:sz w:val="20"/>
          <w:szCs w:val="20"/>
          <w:color w:val="auto"/>
        </w:rPr>
      </w:pPr>
      <w:r>
        <w:rPr>
          <w:rFonts w:ascii="Arial" w:cs="Arial" w:eastAsia="Arial" w:hAnsi="Arial"/>
          <w:sz w:val="18"/>
          <w:szCs w:val="18"/>
          <w:color w:val="auto"/>
        </w:rPr>
        <w:t>This prospectus describes some of the general terms that may apply to these securities. We will provide specific terms of these securities in supplements to this prospectus. This prospectus may not be used to sell securities unless accompanied by the applicable prospectus supplement. You should read this prospectus and any supplement carefully before you invest.</w:t>
      </w:r>
    </w:p>
    <w:p>
      <w:pPr>
        <w:spacing w:after="0" w:line="204" w:lineRule="exact"/>
        <w:rPr>
          <w:sz w:val="20"/>
          <w:szCs w:val="20"/>
          <w:color w:val="auto"/>
        </w:rPr>
      </w:pPr>
    </w:p>
    <w:p>
      <w:pPr>
        <w:jc w:val="both"/>
        <w:ind w:right="20" w:firstLine="504"/>
        <w:spacing w:after="0" w:line="313" w:lineRule="auto"/>
        <w:rPr>
          <w:sz w:val="20"/>
          <w:szCs w:val="20"/>
          <w:color w:val="auto"/>
        </w:rPr>
      </w:pPr>
      <w:r>
        <w:rPr>
          <w:rFonts w:ascii="Arial" w:cs="Arial" w:eastAsia="Arial" w:hAnsi="Arial"/>
          <w:sz w:val="17"/>
          <w:szCs w:val="17"/>
          <w:b w:val="1"/>
          <w:bCs w:val="1"/>
          <w:color w:val="auto"/>
        </w:rPr>
        <w:t>Investing in our securities involves risk. See “Risk Factors” in any accompanying prospectus supplement and in any documents incorporated by reference in this prospectus or any accompanying prospectus supplement before investing in our securities.</w:t>
      </w:r>
    </w:p>
    <w:p>
      <w:pPr>
        <w:spacing w:after="0" w:line="169" w:lineRule="exact"/>
        <w:rPr>
          <w:sz w:val="20"/>
          <w:szCs w:val="20"/>
          <w:color w:val="auto"/>
        </w:rPr>
      </w:pPr>
    </w:p>
    <w:p>
      <w:pPr>
        <w:jc w:val="both"/>
        <w:ind w:right="20" w:firstLine="558"/>
        <w:spacing w:after="0" w:line="264" w:lineRule="auto"/>
        <w:rPr>
          <w:sz w:val="20"/>
          <w:szCs w:val="20"/>
          <w:color w:val="auto"/>
        </w:rPr>
      </w:pPr>
      <w:r>
        <w:rPr>
          <w:rFonts w:ascii="Arial" w:cs="Arial" w:eastAsia="Arial" w:hAnsi="Arial"/>
          <w:sz w:val="18"/>
          <w:szCs w:val="18"/>
          <w:color w:val="auto"/>
        </w:rPr>
        <w:t>Our securities may be offered directly, through agents designated from time to time by us, or to or through underwriters or dealers. If any agents or underwriters are involved in the sale of any of our securities, their names, and any applicable purchase price, fee, commission or discount arrangement between or among them, will be set forth in the applicable prospectus supplement or other offering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210185</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68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200025</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March 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9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Page</w:t>
            </w:r>
          </w:p>
        </w:tc>
      </w:tr>
      <w:tr>
        <w:trPr>
          <w:trHeight w:val="418"/>
        </w:trPr>
        <w:tc>
          <w:tcPr>
            <w:tcW w:w="10920" w:type="dxa"/>
            <w:vAlign w:val="bottom"/>
          </w:tcPr>
          <w:p>
            <w:pPr>
              <w:spacing w:after="0"/>
              <w:rPr>
                <w:sz w:val="20"/>
                <w:szCs w:val="20"/>
                <w:color w:val="auto"/>
              </w:rPr>
            </w:pPr>
            <w:r>
              <w:rPr>
                <w:rFonts w:ascii="Arial" w:cs="Arial" w:eastAsia="Arial" w:hAnsi="Arial"/>
                <w:sz w:val="18"/>
                <w:szCs w:val="18"/>
                <w:color w:val="auto"/>
              </w:rPr>
              <w:t>ABOUT THIS PROSPECTUS</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920" w:type="dxa"/>
            <w:vAlign w:val="bottom"/>
          </w:tcPr>
          <w:p>
            <w:pPr>
              <w:spacing w:after="0"/>
              <w:rPr>
                <w:sz w:val="20"/>
                <w:szCs w:val="20"/>
                <w:color w:val="auto"/>
              </w:rPr>
            </w:pPr>
            <w:r>
              <w:rPr>
                <w:rFonts w:ascii="Arial" w:cs="Arial" w:eastAsia="Arial" w:hAnsi="Arial"/>
                <w:sz w:val="18"/>
                <w:szCs w:val="18"/>
                <w:color w:val="auto"/>
              </w:rPr>
              <w:t>DISCLOSURE REGARDING FORWARD-LOOKING STATEMENTS</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920" w:type="dxa"/>
            <w:vAlign w:val="bottom"/>
          </w:tcPr>
          <w:p>
            <w:pPr>
              <w:spacing w:after="0"/>
              <w:rPr>
                <w:sz w:val="20"/>
                <w:szCs w:val="20"/>
                <w:color w:val="auto"/>
              </w:rPr>
            </w:pPr>
            <w:r>
              <w:rPr>
                <w:rFonts w:ascii="Arial" w:cs="Arial" w:eastAsia="Arial" w:hAnsi="Arial"/>
                <w:sz w:val="18"/>
                <w:szCs w:val="18"/>
                <w:color w:val="auto"/>
              </w:rPr>
              <w:t>BROWN &amp; BROWN, INC.</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920" w:type="dxa"/>
            <w:vAlign w:val="bottom"/>
          </w:tcPr>
          <w:p>
            <w:pPr>
              <w:spacing w:after="0"/>
              <w:rPr>
                <w:sz w:val="20"/>
                <w:szCs w:val="20"/>
                <w:color w:val="auto"/>
              </w:rPr>
            </w:pPr>
            <w:r>
              <w:rPr>
                <w:rFonts w:ascii="Arial" w:cs="Arial" w:eastAsia="Arial" w:hAnsi="Arial"/>
                <w:sz w:val="18"/>
                <w:szCs w:val="18"/>
                <w:color w:val="auto"/>
              </w:rPr>
              <w:t>RISK FACTORS</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920" w:type="dxa"/>
            <w:vAlign w:val="bottom"/>
          </w:tcPr>
          <w:p>
            <w:pPr>
              <w:spacing w:after="0"/>
              <w:rPr>
                <w:sz w:val="20"/>
                <w:szCs w:val="20"/>
                <w:color w:val="auto"/>
              </w:rPr>
            </w:pPr>
            <w:r>
              <w:rPr>
                <w:rFonts w:ascii="Arial" w:cs="Arial" w:eastAsia="Arial" w:hAnsi="Arial"/>
                <w:sz w:val="18"/>
                <w:szCs w:val="18"/>
                <w:color w:val="auto"/>
              </w:rPr>
              <w:t>USE OF PROCEEDS</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92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920" w:type="dxa"/>
            <w:vAlign w:val="bottom"/>
          </w:tcPr>
          <w:p>
            <w:pPr>
              <w:spacing w:after="0"/>
              <w:rPr>
                <w:sz w:val="20"/>
                <w:szCs w:val="20"/>
                <w:color w:val="auto"/>
              </w:rPr>
            </w:pPr>
            <w:r>
              <w:rPr>
                <w:rFonts w:ascii="Arial" w:cs="Arial" w:eastAsia="Arial" w:hAnsi="Arial"/>
                <w:sz w:val="18"/>
                <w:szCs w:val="18"/>
                <w:color w:val="auto"/>
              </w:rPr>
              <w:t>DESCRIPTION OF DEBT SECURITIES</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92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920" w:type="dxa"/>
            <w:vAlign w:val="bottom"/>
          </w:tcPr>
          <w:p>
            <w:pPr>
              <w:spacing w:after="0"/>
              <w:rPr>
                <w:sz w:val="20"/>
                <w:szCs w:val="20"/>
                <w:color w:val="auto"/>
              </w:rPr>
            </w:pPr>
            <w:r>
              <w:rPr>
                <w:rFonts w:ascii="Arial" w:cs="Arial" w:eastAsia="Arial" w:hAnsi="Arial"/>
                <w:sz w:val="18"/>
                <w:szCs w:val="18"/>
                <w:color w:val="auto"/>
              </w:rPr>
              <w:t>DESCRIPTION OF WARRANTS</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920" w:type="dxa"/>
            <w:vAlign w:val="bottom"/>
          </w:tcPr>
          <w:p>
            <w:pPr>
              <w:spacing w:after="0"/>
              <w:rPr>
                <w:sz w:val="20"/>
                <w:szCs w:val="20"/>
                <w:color w:val="auto"/>
              </w:rPr>
            </w:pPr>
            <w:r>
              <w:rPr>
                <w:rFonts w:ascii="Arial" w:cs="Arial" w:eastAsia="Arial" w:hAnsi="Arial"/>
                <w:sz w:val="18"/>
                <w:szCs w:val="18"/>
                <w:color w:val="auto"/>
              </w:rPr>
              <w:t>LEGAL MATTERS</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920" w:type="dxa"/>
            <w:vAlign w:val="bottom"/>
          </w:tcPr>
          <w:p>
            <w:pPr>
              <w:spacing w:after="0"/>
              <w:rPr>
                <w:sz w:val="20"/>
                <w:szCs w:val="20"/>
                <w:color w:val="auto"/>
              </w:rPr>
            </w:pPr>
            <w:r>
              <w:rPr>
                <w:rFonts w:ascii="Arial" w:cs="Arial" w:eastAsia="Arial" w:hAnsi="Arial"/>
                <w:sz w:val="18"/>
                <w:szCs w:val="18"/>
                <w:color w:val="auto"/>
              </w:rPr>
              <w:t>EXPERTS</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92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0920" w:type="dxa"/>
            <w:vAlign w:val="bottom"/>
          </w:tcPr>
          <w:p>
            <w:pPr>
              <w:spacing w:after="0"/>
              <w:rPr>
                <w:sz w:val="20"/>
                <w:szCs w:val="20"/>
                <w:color w:val="auto"/>
              </w:rPr>
            </w:pPr>
            <w:r>
              <w:rPr>
                <w:rFonts w:ascii="Arial" w:cs="Arial" w:eastAsia="Arial" w:hAnsi="Arial"/>
                <w:sz w:val="18"/>
                <w:szCs w:val="18"/>
                <w:color w:val="auto"/>
              </w:rPr>
              <w:t>INCORPORATION BY REFERENCE</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222885</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532"/>
        <w:spacing w:after="0" w:line="276" w:lineRule="auto"/>
        <w:rPr>
          <w:sz w:val="20"/>
          <w:szCs w:val="20"/>
          <w:color w:val="auto"/>
        </w:rPr>
      </w:pPr>
      <w:r>
        <w:rPr>
          <w:rFonts w:ascii="Arial" w:cs="Arial" w:eastAsia="Arial" w:hAnsi="Arial"/>
          <w:sz w:val="17"/>
          <w:szCs w:val="17"/>
          <w:color w:val="auto"/>
        </w:rPr>
        <w:t>You should rely only on the information contained or incorporated by reference in this prospectus, any prospectus supplement, or documents to which we otherwise refer you. We have not authorized any other person to provide you with different information. If anyone provides you with different or inconsistent information, you should not rely on it. You should not assume that the information in this prospectus or any supplement is accurate as of any date other than the date on the front of those documents. Our business, financial condition, results of operations and prospects may have changed since that date. We are not making an offer to sell these securities in any jurisdiction where the offer or sale is not permitted.</w:t>
      </w:r>
    </w:p>
    <w:p>
      <w:pPr>
        <w:spacing w:after="0" w:line="200"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8"/>
          <w:szCs w:val="18"/>
          <w:color w:val="auto"/>
        </w:rPr>
        <w:t>The information in this prospectus or any supplement may not contain all of the information that may be important to you. You should read the entire prospectus and any supplement, as well as the documents incorporated by reference in the prospectus and any supplement, before making an investment decision.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56" w:lineRule="exact"/>
        <w:rPr>
          <w:sz w:val="20"/>
          <w:szCs w:val="20"/>
          <w:color w:val="auto"/>
        </w:rPr>
      </w:pPr>
    </w:p>
    <w:p>
      <w:pPr>
        <w:jc w:val="both"/>
        <w:ind w:firstLine="578"/>
        <w:spacing w:after="0" w:line="273" w:lineRule="auto"/>
        <w:rPr>
          <w:sz w:val="20"/>
          <w:szCs w:val="20"/>
          <w:color w:val="auto"/>
        </w:rPr>
      </w:pPr>
      <w:r>
        <w:rPr>
          <w:rFonts w:ascii="Arial" w:cs="Arial" w:eastAsia="Arial" w:hAnsi="Arial"/>
          <w:sz w:val="17"/>
          <w:szCs w:val="17"/>
          <w:color w:val="auto"/>
        </w:rPr>
        <w:t>This prospectus is part of a registration statement on Form S-3 that we filed with the Securities and Exchange Commission (the “SEC”) utilizing a “shelf” registration process. Under this shelf process, we may, from time to time, sell any combination of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including the specific amounts, prices and terms. The prospectus supplement may also add, update or change information contained in this prospectus. You should read both this prospectus and any applicable prospectus supplement together with the additional information described below under the heading “Where You Can Find More Information.”</w:t>
      </w:r>
    </w:p>
    <w:p>
      <w:pPr>
        <w:spacing w:after="0" w:line="205" w:lineRule="exact"/>
        <w:rPr>
          <w:sz w:val="20"/>
          <w:szCs w:val="20"/>
          <w:color w:val="auto"/>
        </w:rPr>
      </w:pPr>
    </w:p>
    <w:p>
      <w:pPr>
        <w:jc w:val="both"/>
        <w:ind w:firstLine="529"/>
        <w:spacing w:after="0" w:line="264" w:lineRule="auto"/>
        <w:rPr>
          <w:sz w:val="20"/>
          <w:szCs w:val="20"/>
          <w:color w:val="auto"/>
        </w:rPr>
      </w:pPr>
      <w:r>
        <w:rPr>
          <w:rFonts w:ascii="Arial" w:cs="Arial" w:eastAsia="Arial" w:hAnsi="Arial"/>
          <w:sz w:val="18"/>
          <w:szCs w:val="18"/>
          <w:color w:val="auto"/>
        </w:rPr>
        <w:t>When used in this prospectus and any prospectus supplement, the terms “Brown &amp; Brown,” “we,” “our,” “us” and the “Company” refer to Brown &amp; Brown, Inc. and it subsidiaries. The following summary contains basic information about us. It likely does not contain all the information that is important to you. We encourage you to read this entire prospectus and the documents we have referred you to.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56" w:lineRule="exact"/>
        <w:rPr>
          <w:sz w:val="20"/>
          <w:szCs w:val="20"/>
          <w:color w:val="auto"/>
        </w:rPr>
      </w:pPr>
    </w:p>
    <w:p>
      <w:pPr>
        <w:jc w:val="both"/>
        <w:ind w:firstLine="551"/>
        <w:spacing w:after="0" w:line="270" w:lineRule="auto"/>
        <w:rPr>
          <w:sz w:val="20"/>
          <w:szCs w:val="20"/>
          <w:color w:val="auto"/>
        </w:rPr>
      </w:pPr>
      <w:r>
        <w:rPr>
          <w:rFonts w:ascii="Arial" w:cs="Arial" w:eastAsia="Arial" w:hAnsi="Arial"/>
          <w:sz w:val="17"/>
          <w:szCs w:val="17"/>
          <w:color w:val="auto"/>
        </w:rPr>
        <w:t>Brown &amp; Brown, Inc., together with its subsidiaries (collectively, “we”, “Brown &amp; Brown” or the “Company”), make “forward-looking statements” within the “safe harbor” provision of the Private Securities Litigation Reform Act of 1995, as amended, throughout this prospectus and in the documents we incorporate by reference into this prospectus. You can identify these statements by forward-looking words such as “may,” “will,” “should,” “expect,” “anticipate,” “believe,” “intend,” “estimate,” “plan” and “continue” or similar words. We have based these statements on our current expectations about future events. Although we believe the expectations expressed in the forward-looking statements included in this prospectus and those reports, statements, information and announcements are based on reasonable assumptions within the bounds of our knowledge of our business, a number of factors could cause actual results to differ materially from those expressed in any forward-looking statements, whether oral or written, made by us or on our behalf. Many of these factors have previously been identified in filings or statements made by us or on our behalf. Important factors which could cause our actual results to differ materially from the forward-looking statements in this report include the following items: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Material adverse changes in economic conditions in the markets we serve and in the general economy;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Future regulatory actions and conditions in the states in which we conduct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Competition from others in the insurance agency, wholesale brokerage, insurance programs and service business;</w:t>
      </w:r>
    </w:p>
    <w:p>
      <w:pPr>
        <w:spacing w:after="0" w:line="225" w:lineRule="exact"/>
        <w:rPr>
          <w:sz w:val="20"/>
          <w:szCs w:val="20"/>
          <w:color w:val="auto"/>
        </w:rPr>
      </w:pPr>
    </w:p>
    <w:p>
      <w:pPr>
        <w:ind w:left="460" w:hanging="459"/>
        <w:spacing w:after="0" w:line="264" w:lineRule="auto"/>
        <w:rPr>
          <w:sz w:val="20"/>
          <w:szCs w:val="20"/>
          <w:color w:val="auto"/>
        </w:rPr>
      </w:pPr>
      <w:r>
        <w:rPr>
          <w:rFonts w:ascii="Arial" w:cs="Arial" w:eastAsia="Arial" w:hAnsi="Arial"/>
          <w:sz w:val="18"/>
          <w:szCs w:val="18"/>
          <w:color w:val="auto"/>
        </w:rPr>
        <w:t>–A significant portion of business written by Brown &amp; Brown is for customers located in California, Florida, Michigan, New Jersey, New York, Pennsylvania, Texas and Washington. Accordingly, the occurrence of adverse economic conditions, an adverse regulatory climate, or a disaster in any of these states could have a material adverse effect on our business;</w:t>
      </w:r>
    </w:p>
    <w:p>
      <w:pPr>
        <w:spacing w:after="0" w:line="181" w:lineRule="exact"/>
        <w:rPr>
          <w:sz w:val="20"/>
          <w:szCs w:val="20"/>
          <w:color w:val="auto"/>
        </w:rPr>
      </w:pPr>
    </w:p>
    <w:p>
      <w:pPr>
        <w:ind w:left="460" w:hanging="459"/>
        <w:spacing w:after="0" w:line="277" w:lineRule="auto"/>
        <w:rPr>
          <w:sz w:val="20"/>
          <w:szCs w:val="20"/>
          <w:color w:val="auto"/>
        </w:rPr>
      </w:pPr>
      <w:r>
        <w:rPr>
          <w:rFonts w:ascii="Arial" w:cs="Arial" w:eastAsia="Arial" w:hAnsi="Arial"/>
          <w:sz w:val="18"/>
          <w:szCs w:val="18"/>
          <w:color w:val="auto"/>
        </w:rPr>
        <w:t>–The integration of our operations with those of businesses or assets we have acquired or may acquire in the future and the failure to realize the expected benefits of such integration; and</w:t>
      </w:r>
    </w:p>
    <w:p>
      <w:pPr>
        <w:spacing w:after="0" w:line="170" w:lineRule="exact"/>
        <w:rPr>
          <w:sz w:val="20"/>
          <w:szCs w:val="20"/>
          <w:color w:val="auto"/>
        </w:rPr>
      </w:pPr>
    </w:p>
    <w:p>
      <w:pPr>
        <w:ind w:left="460" w:hanging="459"/>
        <w:spacing w:after="0" w:line="277" w:lineRule="auto"/>
        <w:rPr>
          <w:sz w:val="20"/>
          <w:szCs w:val="20"/>
          <w:color w:val="auto"/>
        </w:rPr>
      </w:pPr>
      <w:r>
        <w:rPr>
          <w:rFonts w:ascii="Arial" w:cs="Arial" w:eastAsia="Arial" w:hAnsi="Arial"/>
          <w:sz w:val="18"/>
          <w:szCs w:val="18"/>
          <w:color w:val="auto"/>
        </w:rPr>
        <w:t>–Other risks and uncertainties as may be detailed from time to time in our public announcements and Securities and Exchange Commission (“SEC”) filings.</w:t>
      </w:r>
    </w:p>
    <w:p>
      <w:pPr>
        <w:spacing w:after="0" w:line="197" w:lineRule="exact"/>
        <w:rPr>
          <w:sz w:val="20"/>
          <w:szCs w:val="20"/>
          <w:color w:val="auto"/>
        </w:rPr>
      </w:pPr>
    </w:p>
    <w:p>
      <w:pPr>
        <w:ind w:right="40" w:firstLine="450"/>
        <w:spacing w:after="0" w:line="264" w:lineRule="auto"/>
        <w:rPr>
          <w:sz w:val="20"/>
          <w:szCs w:val="20"/>
          <w:color w:val="auto"/>
        </w:rPr>
      </w:pPr>
      <w:r>
        <w:rPr>
          <w:rFonts w:ascii="Arial" w:cs="Arial" w:eastAsia="Arial" w:hAnsi="Arial"/>
          <w:sz w:val="18"/>
          <w:szCs w:val="18"/>
          <w:color w:val="auto"/>
        </w:rPr>
        <w:t>For a further list and description of various risks, relevant factors and uncertainties that could cause future results or events to differ materially from those expressed or implied in our forward-looking statements, see the "Risk Factors" and "Management's Discussion and Analysis of Financial Condition and Results of Operations" sections contained in the documents incorporated by reference in this prospectus.</w:t>
      </w:r>
    </w:p>
    <w:p>
      <w:pPr>
        <w:spacing w:after="0" w:line="235" w:lineRule="exact"/>
        <w:rPr>
          <w:sz w:val="20"/>
          <w:szCs w:val="20"/>
          <w:color w:val="auto"/>
        </w:rPr>
      </w:pPr>
    </w:p>
    <w:p>
      <w:pPr>
        <w:ind w:right="160" w:firstLine="540"/>
        <w:spacing w:after="0" w:line="273" w:lineRule="auto"/>
        <w:rPr>
          <w:sz w:val="20"/>
          <w:szCs w:val="20"/>
          <w:color w:val="auto"/>
        </w:rPr>
      </w:pPr>
      <w:r>
        <w:rPr>
          <w:rFonts w:ascii="Arial" w:cs="Arial" w:eastAsia="Arial" w:hAnsi="Arial"/>
          <w:sz w:val="17"/>
          <w:szCs w:val="17"/>
          <w:color w:val="auto"/>
        </w:rPr>
        <w:t>Forward-looking statements that we make or that are made by others on our behalf are based on a knowledge of our business and the environment in which we operate, but because of the factors listed above, among others, actual results may differ from those in the forward-looking statements. Consequently, these cautionary statements qualify all of the forward-looking statements we make herein. We cannot assure you that the results or developments anticipated by us will be realized or, even if substantially realized, that those results or developments will result in the expected consequences for us or affect us, our business or our operations in the way we expect. We caution readers not to place undue reliance on these forward-looking statements, which speak only as of their dates. We assume no obligation to update any of the forward-looking statements.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BROWN &amp; BROWN,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56"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We are a diversified insurance agency, wholesale brokerage, programs and services organization. We market and sell to our customers insurance products and services, primarily in the property and casualty, and employee benefits areas. As an agent and broker, we do not assume underwriting risks. Instead, we provide our customers with quality insurance contracts, as well as other targeted, customized risk management products and services. Our business is divided into four reportable segments: the Retail Division, which provides a broad range of insurance products and services to commercial, public and quasi-public entities, professional and individual customers; the Wholesale Brokerage Division, which markets and sells excess and surplus commercial and personal lines insurance and reinsurance, primarily through independent agents and brokers; the National Programs Division, which is comprised of two units - Professional Programs, which provides professional liability and related package products for certain professionals delivered through nationwide networks of independent agents, and Special Programs, which markets targeted products and services designed for specific industries, trade groups, public and quasi-public entities and market niches; and the Services Division, which provides insurance-related services, including third-party claims administration and comprehensive medical utilization management services in both the workers’ compensation and all-lines liability arenas, as well as Medicare set-aside services.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jc w:val="both"/>
        <w:ind w:firstLine="585"/>
        <w:spacing w:after="0" w:line="264" w:lineRule="auto"/>
        <w:rPr>
          <w:sz w:val="20"/>
          <w:szCs w:val="20"/>
          <w:color w:val="auto"/>
        </w:rPr>
      </w:pPr>
      <w:r>
        <w:rPr>
          <w:rFonts w:ascii="Arial" w:cs="Arial" w:eastAsia="Arial" w:hAnsi="Arial"/>
          <w:sz w:val="18"/>
          <w:szCs w:val="18"/>
          <w:color w:val="auto"/>
        </w:rPr>
        <w:t>Investing in our securities involves risk. Before making an investment decision, you should carefully consider the specific risks set forth under the caption “Risk Factors” in the applicable prospectus supplement and under the caption “Risk Factors” in our filings with the SEC pursuant to Sections 13(a), 13(c), 14 or 15(d) of the Exchange Act, incorporated by reference in this prospectus.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jc w:val="both"/>
        <w:ind w:firstLine="511"/>
        <w:spacing w:after="0" w:line="277" w:lineRule="auto"/>
        <w:rPr>
          <w:sz w:val="20"/>
          <w:szCs w:val="20"/>
          <w:color w:val="auto"/>
        </w:rPr>
      </w:pPr>
      <w:r>
        <w:rPr>
          <w:rFonts w:ascii="Arial" w:cs="Arial" w:eastAsia="Arial" w:hAnsi="Arial"/>
          <w:sz w:val="18"/>
          <w:szCs w:val="18"/>
          <w:color w:val="auto"/>
        </w:rPr>
        <w:t>Unless otherwise indicated in a prospectus supplement, the net proceeds from the sale of securities offered by this prospectus will be used for general corporate purposes.</w:t>
      </w:r>
    </w:p>
    <w:p>
      <w:pPr>
        <w:spacing w:after="0" w:line="19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 OF EARNINGS TO FIXED CHARGES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248"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For the Year Ended December 31,</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2008</w:t>
            </w:r>
          </w:p>
        </w:tc>
        <w:tc>
          <w:tcPr>
            <w:tcW w:w="460" w:type="dxa"/>
            <w:vAlign w:val="bottom"/>
            <w:tcBorders>
              <w:top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2007</w:t>
            </w:r>
          </w:p>
        </w:tc>
        <w:tc>
          <w:tcPr>
            <w:tcW w:w="440" w:type="dxa"/>
            <w:vAlign w:val="bottom"/>
            <w:tcBorders>
              <w:top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2006</w:t>
            </w:r>
          </w:p>
        </w:tc>
        <w:tc>
          <w:tcPr>
            <w:tcW w:w="440" w:type="dxa"/>
            <w:vAlign w:val="bottom"/>
            <w:tcBorders>
              <w:top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2005</w:t>
            </w:r>
          </w:p>
        </w:tc>
        <w:tc>
          <w:tcPr>
            <w:tcW w:w="440" w:type="dxa"/>
            <w:vAlign w:val="bottom"/>
            <w:tcBorders>
              <w:top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2004</w:t>
            </w:r>
          </w:p>
        </w:tc>
      </w:tr>
      <w:tr>
        <w:trPr>
          <w:trHeight w:val="418"/>
        </w:trPr>
        <w:tc>
          <w:tcPr>
            <w:tcW w:w="6540" w:type="dxa"/>
            <w:vAlign w:val="bottom"/>
            <w:gridSpan w:val="2"/>
          </w:tcPr>
          <w:p>
            <w:pPr>
              <w:spacing w:after="0"/>
              <w:rPr>
                <w:sz w:val="20"/>
                <w:szCs w:val="20"/>
                <w:color w:val="auto"/>
              </w:rPr>
            </w:pPr>
            <w:r>
              <w:rPr>
                <w:rFonts w:ascii="Arial" w:cs="Arial" w:eastAsia="Arial" w:hAnsi="Arial"/>
                <w:sz w:val="18"/>
                <w:szCs w:val="18"/>
                <w:color w:val="auto"/>
              </w:rPr>
              <w:t>Ratio of Earnings to Fixed Charges . . . . . . . . . . . . . . . . . . . . . . . . . . . . . . . . . .</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w w:val="85"/>
              </w:rPr>
              <w:t>. . . . . . . .19.5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29.9</w:t>
            </w:r>
          </w:p>
        </w:tc>
      </w:tr>
    </w:tbl>
    <w:p>
      <w:pPr>
        <w:spacing w:after="0" w:line="229" w:lineRule="exact"/>
        <w:rPr>
          <w:sz w:val="20"/>
          <w:szCs w:val="20"/>
          <w:color w:val="auto"/>
        </w:rPr>
      </w:pPr>
    </w:p>
    <w:p>
      <w:pPr>
        <w:jc w:val="both"/>
        <w:ind w:firstLine="516"/>
        <w:spacing w:after="0" w:line="273" w:lineRule="auto"/>
        <w:rPr>
          <w:sz w:val="20"/>
          <w:szCs w:val="20"/>
          <w:color w:val="auto"/>
        </w:rPr>
      </w:pPr>
      <w:r>
        <w:rPr>
          <w:rFonts w:ascii="Arial" w:cs="Arial" w:eastAsia="Arial" w:hAnsi="Arial"/>
          <w:sz w:val="17"/>
          <w:szCs w:val="17"/>
          <w:color w:val="auto"/>
        </w:rPr>
        <w:t>For purposes of calculating the ratio of earnings to fixed charges, earnings is the amount resulting from (1) adding (a) pretax income from continuing operations before adjustment for minority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and (ii) the minority interest in pre-tax income of subsidiaries that have not incurred fixed charges. Fixed charges is the sum of (x) interest expensed and capitalized, (y) amortized premiums, discounts and capitalized expenses related to indebtedness and (z) an estimate of the interest within rental expense.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56" w:lineRule="exact"/>
        <w:rPr>
          <w:sz w:val="20"/>
          <w:szCs w:val="20"/>
          <w:color w:val="auto"/>
        </w:rPr>
      </w:pPr>
    </w:p>
    <w:p>
      <w:pPr>
        <w:jc w:val="both"/>
        <w:ind w:firstLine="541"/>
        <w:spacing w:after="0" w:line="257" w:lineRule="auto"/>
        <w:rPr>
          <w:sz w:val="20"/>
          <w:szCs w:val="20"/>
          <w:color w:val="auto"/>
        </w:rPr>
      </w:pPr>
      <w:r>
        <w:rPr>
          <w:rFonts w:ascii="Arial" w:cs="Arial" w:eastAsia="Arial" w:hAnsi="Arial"/>
          <w:sz w:val="18"/>
          <w:szCs w:val="18"/>
          <w:color w:val="auto"/>
        </w:rPr>
        <w:t>We may offer secured or unsecured debt securities which may be senior or subordinated, and which may be convertible. Any debt securities that we issue will be issued under an indenture to be entered into between us and a trustee. A form of indenture is attached as an exhibit to the registration statement of which this prospectus forms a part. The following description of the terms of the debt securities sets forth certain general terms and provisions. The particular terms of the debt securities offered by any prospectus supplement and the extent, if any, to which such general provisions may apply to the debt securities will be described in the related prospectus supplement.</w:t>
      </w:r>
    </w:p>
    <w:p>
      <w:pPr>
        <w:spacing w:after="0" w:line="215" w:lineRule="exact"/>
        <w:rPr>
          <w:sz w:val="20"/>
          <w:szCs w:val="20"/>
          <w:color w:val="auto"/>
        </w:rPr>
      </w:pPr>
    </w:p>
    <w:p>
      <w:pPr>
        <w:jc w:val="both"/>
        <w:ind w:firstLine="504"/>
        <w:spacing w:after="0" w:line="257" w:lineRule="auto"/>
        <w:rPr>
          <w:sz w:val="20"/>
          <w:szCs w:val="20"/>
          <w:color w:val="auto"/>
        </w:rPr>
      </w:pPr>
      <w:r>
        <w:rPr>
          <w:rFonts w:ascii="Arial" w:cs="Arial" w:eastAsia="Arial" w:hAnsi="Arial"/>
          <w:sz w:val="18"/>
          <w:szCs w:val="18"/>
          <w:color w:val="auto"/>
        </w:rPr>
        <w:t>This prospectus summarizes what we believe to be the material provisions of the form of indenture attached as an exhibit to the registration statement of which this prospectus forms a part and that is incorporated herein by reference and the debt securities that we may issue under such form of indenture. This summary is not complete and may not describe all of the provisions of the indenture or of the debt securities that may be important to you. For additional information, you should carefully read the form of indenture that is attached as an exhibit to the registration statement of which this prospectus forms a part and that is incorporated herein by reference.</w:t>
      </w:r>
    </w:p>
    <w:p>
      <w:pPr>
        <w:spacing w:after="0" w:line="215"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7"/>
          <w:szCs w:val="17"/>
          <w:color w:val="auto"/>
        </w:rPr>
        <w:t>In addition, when we offer to sell a particular series of debt securities, we will describe the specific terms of those debt securities in a supplement to this prospectus. The terms of such a particular series of debt securities may differ from the terms described in this prospectus. As a result, the particular terms of the debt securities offered by any prospectus supplement and the extent, if any, to which these general provisions may apply to the debt securities, will be described in the applicable prospectus supplement. Accordingly, for a description of the terms of a particular issue of debt securities, reference must be made to both the applicable prospectus supplement and to the following description.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28"/>
        <w:spacing w:after="0" w:line="277" w:lineRule="auto"/>
        <w:rPr>
          <w:sz w:val="20"/>
          <w:szCs w:val="20"/>
          <w:color w:val="auto"/>
        </w:rPr>
      </w:pPr>
      <w:r>
        <w:rPr>
          <w:rFonts w:ascii="Arial" w:cs="Arial" w:eastAsia="Arial" w:hAnsi="Arial"/>
          <w:sz w:val="18"/>
          <w:szCs w:val="18"/>
          <w:color w:val="auto"/>
        </w:rPr>
        <w:t>The debt securities may be issued in one or more series as may be authorized from time to time. Reference is made to the applicable prospectus supplement for the following terms of the debt securities (if applicable):</w:t>
      </w:r>
    </w:p>
    <w:p>
      <w:pPr>
        <w:spacing w:after="0" w:line="170" w:lineRule="exact"/>
        <w:rPr>
          <w:sz w:val="20"/>
          <w:szCs w:val="20"/>
          <w:color w:val="auto"/>
        </w:rPr>
      </w:pPr>
    </w:p>
    <w:p>
      <w:pPr>
        <w:ind w:left="460" w:hanging="27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and aggregate principal amount;</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securities will be senior or subordinated;</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securities will be secured or unsecured, and if secured, what the collateral will consist of;</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applicable subordination provisions, if any;</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conversion or exchange into other securities;</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percentage or percentages of principal amount at which such securities will be issued;</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maturity date(s);</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rate(s) or the method for determining the interest rate(s);</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dates on which interest will accrue or the method for determining dates on which interest will accrue and dates on which interest will be payable;</w:t>
      </w:r>
    </w:p>
    <w:p>
      <w:pPr>
        <w:spacing w:after="0" w:line="236" w:lineRule="exact"/>
        <w:rPr>
          <w:rFonts w:ascii="Arial" w:cs="Arial" w:eastAsia="Arial" w:hAnsi="Arial"/>
          <w:sz w:val="17"/>
          <w:szCs w:val="17"/>
          <w:color w:val="auto"/>
        </w:rPr>
      </w:pPr>
    </w:p>
    <w:p>
      <w:pPr>
        <w:ind w:left="460" w:hanging="27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redemption (including upon a “change of control”) or early repayment provisions;</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authorized denominations;</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of discount or premium, if any, with which such securities will be issued;</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such securities will be issued in whole or in part in the form of one or more global securities;</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identity of the depositary for global securities;</w:t>
      </w:r>
    </w:p>
    <w:p>
      <w:pPr>
        <w:spacing w:after="0" w:line="225" w:lineRule="exact"/>
        <w:rPr>
          <w:rFonts w:ascii="Arial" w:cs="Arial" w:eastAsia="Arial" w:hAnsi="Arial"/>
          <w:sz w:val="18"/>
          <w:szCs w:val="18"/>
          <w:color w:val="auto"/>
        </w:rPr>
      </w:pPr>
    </w:p>
    <w:p>
      <w:pPr>
        <w:ind w:left="460" w:right="20" w:hanging="277"/>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 temporary security is to be issued with respect to such series and whether any interest payable prior to the issuance of definitive securities of the series will be credited to the account of the persons entitled thereto;</w:t>
      </w:r>
    </w:p>
    <w:p>
      <w:pPr>
        <w:spacing w:after="0" w:line="170" w:lineRule="exact"/>
        <w:rPr>
          <w:rFonts w:ascii="Arial" w:cs="Arial" w:eastAsia="Arial" w:hAnsi="Arial"/>
          <w:sz w:val="18"/>
          <w:szCs w:val="18"/>
          <w:color w:val="auto"/>
        </w:rPr>
      </w:pPr>
    </w:p>
    <w:p>
      <w:pPr>
        <w:ind w:left="460" w:right="20" w:hanging="277"/>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upon which beneficial interests in a temporary global security may be exchanged in whole or in part for beneficial interests in a definitive global security or for individual definitive securities;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p>
      <w:pPr>
        <w:ind w:left="460" w:hanging="277"/>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covenants applicable to the particular debt securities being issued;</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defaults and events of default applicable to the particular debt securities being issued;</w:t>
      </w:r>
    </w:p>
    <w:p>
      <w:pPr>
        <w:spacing w:after="0" w:line="225" w:lineRule="exact"/>
        <w:rPr>
          <w:rFonts w:ascii="Arial" w:cs="Arial" w:eastAsia="Arial" w:hAnsi="Arial"/>
          <w:sz w:val="18"/>
          <w:szCs w:val="18"/>
          <w:color w:val="auto"/>
        </w:rPr>
      </w:pPr>
    </w:p>
    <w:p>
      <w:pPr>
        <w:ind w:left="460" w:right="380" w:hanging="277"/>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currency, currencies or currency units in which the purchase price for, the principal of and any premium and any interest on, such securities will be payable;</w:t>
      </w:r>
    </w:p>
    <w:p>
      <w:pPr>
        <w:spacing w:after="0" w:line="170" w:lineRule="exact"/>
        <w:rPr>
          <w:rFonts w:ascii="Arial" w:cs="Arial" w:eastAsia="Arial" w:hAnsi="Arial"/>
          <w:sz w:val="18"/>
          <w:szCs w:val="18"/>
          <w:color w:val="auto"/>
        </w:rPr>
      </w:pPr>
    </w:p>
    <w:p>
      <w:pPr>
        <w:ind w:left="460" w:right="700" w:hanging="277"/>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 period within which, the manner in which and the terms and conditions upon which the purchaser of the securities can select the payment currency;</w:t>
      </w:r>
    </w:p>
    <w:p>
      <w:pPr>
        <w:spacing w:after="0" w:line="170" w:lineRule="exact"/>
        <w:rPr>
          <w:rFonts w:ascii="Arial" w:cs="Arial" w:eastAsia="Arial" w:hAnsi="Arial"/>
          <w:sz w:val="18"/>
          <w:szCs w:val="18"/>
          <w:color w:val="auto"/>
        </w:rPr>
      </w:pPr>
    </w:p>
    <w:p>
      <w:pPr>
        <w:ind w:left="460" w:hanging="277"/>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securities exchange(s) on which the securities will be listed, if any;</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any underwriter(s) will act as market maker(s) for the securities;</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extent to which a secondary market for the securities is expected to develop;</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obligation or right to redeem, purchase or repay securities under a sinking fund, amortization or analogous provision;</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provisions relating to covenant defeasance and legal defeasance;</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provisions relating to satisfaction and discharge of the indenture;</w:t>
      </w:r>
    </w:p>
    <w:p>
      <w:pPr>
        <w:spacing w:after="0" w:line="225" w:lineRule="exact"/>
        <w:rPr>
          <w:rFonts w:ascii="Arial" w:cs="Arial" w:eastAsia="Arial" w:hAnsi="Arial"/>
          <w:sz w:val="18"/>
          <w:szCs w:val="18"/>
          <w:color w:val="auto"/>
        </w:rPr>
      </w:pPr>
    </w:p>
    <w:p>
      <w:pPr>
        <w:ind w:left="460" w:hanging="277"/>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provisions relating to the modification of the indenture both with and without the consent of holders of debt securities issued under the indenture; and</w:t>
      </w:r>
    </w:p>
    <w:p>
      <w:pPr>
        <w:spacing w:after="0" w:line="248" w:lineRule="exact"/>
        <w:rPr>
          <w:rFonts w:ascii="Arial" w:cs="Arial" w:eastAsia="Arial" w:hAnsi="Arial"/>
          <w:sz w:val="16"/>
          <w:szCs w:val="16"/>
          <w:color w:val="auto"/>
        </w:rPr>
      </w:pPr>
    </w:p>
    <w:p>
      <w:pPr>
        <w:ind w:left="460" w:hanging="277"/>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terms not inconsistent with the provisions of the indenture.</w:t>
      </w:r>
    </w:p>
    <w:p>
      <w:pPr>
        <w:spacing w:after="0" w:line="252" w:lineRule="exact"/>
        <w:rPr>
          <w:sz w:val="20"/>
          <w:szCs w:val="20"/>
          <w:color w:val="auto"/>
        </w:rPr>
      </w:pPr>
    </w:p>
    <w:p>
      <w:pPr>
        <w:jc w:val="both"/>
        <w:ind w:firstLine="514"/>
        <w:spacing w:after="0" w:line="264" w:lineRule="auto"/>
        <w:rPr>
          <w:sz w:val="20"/>
          <w:szCs w:val="20"/>
          <w:color w:val="auto"/>
        </w:rPr>
      </w:pPr>
      <w:r>
        <w:rPr>
          <w:rFonts w:ascii="Arial" w:cs="Arial" w:eastAsia="Arial" w:hAnsi="Arial"/>
          <w:sz w:val="18"/>
          <w:szCs w:val="18"/>
          <w:color w:val="auto"/>
        </w:rPr>
        <w:t>One or more series of debt securities may be sold at a substantial discount below their stated principal amount, bearing no interest or interest at a rate which at the time of issuance is below market rates. One or more series of debt securities may be variable rate debt securities that may be exchanged for fixed rate debt securities.</w:t>
      </w:r>
    </w:p>
    <w:p>
      <w:pPr>
        <w:spacing w:after="0" w:line="208"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United States federal income tax consequences and special considerations, if any, applicable to any such series will be described in the applicable prospectus supplement.</w:t>
      </w:r>
    </w:p>
    <w:p>
      <w:pPr>
        <w:spacing w:after="0" w:line="197" w:lineRule="exact"/>
        <w:rPr>
          <w:sz w:val="20"/>
          <w:szCs w:val="20"/>
          <w:color w:val="auto"/>
        </w:rPr>
      </w:pPr>
    </w:p>
    <w:p>
      <w:pPr>
        <w:jc w:val="both"/>
        <w:ind w:firstLine="458"/>
        <w:spacing w:after="0" w:line="255" w:lineRule="auto"/>
        <w:rPr>
          <w:sz w:val="20"/>
          <w:szCs w:val="20"/>
          <w:color w:val="auto"/>
        </w:rPr>
      </w:pPr>
      <w:r>
        <w:rPr>
          <w:rFonts w:ascii="Arial" w:cs="Arial" w:eastAsia="Arial" w:hAnsi="Arial"/>
          <w:sz w:val="18"/>
          <w:szCs w:val="18"/>
          <w:color w:val="auto"/>
        </w:rPr>
        <w:t>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the currencies, commodities, equity indices or other factors to which the amount payable on such date is linked and certain additional United States federal income tax considerations will be set forth in the applicable prospectus supplement.</w:t>
      </w:r>
    </w:p>
    <w:p>
      <w:pPr>
        <w:spacing w:after="0" w:line="220" w:lineRule="exact"/>
        <w:rPr>
          <w:sz w:val="20"/>
          <w:szCs w:val="20"/>
          <w:color w:val="auto"/>
        </w:rPr>
      </w:pPr>
    </w:p>
    <w:p>
      <w:pPr>
        <w:jc w:val="both"/>
        <w:ind w:firstLine="551"/>
        <w:spacing w:after="0" w:line="277" w:lineRule="auto"/>
        <w:rPr>
          <w:sz w:val="20"/>
          <w:szCs w:val="20"/>
          <w:color w:val="auto"/>
        </w:rPr>
      </w:pPr>
      <w:r>
        <w:rPr>
          <w:rFonts w:ascii="Arial" w:cs="Arial" w:eastAsia="Arial" w:hAnsi="Arial"/>
          <w:sz w:val="18"/>
          <w:szCs w:val="18"/>
          <w:color w:val="auto"/>
        </w:rPr>
        <w:t>The term “debt securities” includes debt securities denominated in U.S. dollars or, if specified in the applicable prospectus supplement, in any other freely transferable currency or units based on or relating to foreign currencies.</w:t>
      </w:r>
    </w:p>
    <w:p>
      <w:pPr>
        <w:spacing w:after="0" w:line="197" w:lineRule="exact"/>
        <w:rPr>
          <w:sz w:val="20"/>
          <w:szCs w:val="20"/>
          <w:color w:val="auto"/>
        </w:rPr>
      </w:pPr>
    </w:p>
    <w:p>
      <w:pPr>
        <w:jc w:val="both"/>
        <w:ind w:firstLine="455"/>
        <w:spacing w:after="0" w:line="259" w:lineRule="auto"/>
        <w:rPr>
          <w:sz w:val="20"/>
          <w:szCs w:val="20"/>
          <w:color w:val="auto"/>
        </w:rPr>
      </w:pPr>
      <w:r>
        <w:rPr>
          <w:rFonts w:ascii="Arial" w:cs="Arial" w:eastAsia="Arial" w:hAnsi="Arial"/>
          <w:sz w:val="18"/>
          <w:szCs w:val="18"/>
          <w:color w:val="auto"/>
        </w:rPr>
        <w:t>We expect most debt securities to be issued in fully registered form without coupons and in denominations of $1,000 and any integral multiples thereof. Subject to the limitations provided in the indenture and in the prospectus supplement, debt securities that are issued in registered form may be transferred or exchanged at the corporate office of the trustee or the principal corporate trust office of the trustee, without the payment of any service charge, other than any tax or other governmental charge payable in connection therewith.</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56" w:lineRule="exact"/>
        <w:rPr>
          <w:sz w:val="20"/>
          <w:szCs w:val="20"/>
          <w:color w:val="auto"/>
        </w:rPr>
      </w:pPr>
    </w:p>
    <w:p>
      <w:pPr>
        <w:jc w:val="both"/>
        <w:ind w:firstLine="460"/>
        <w:spacing w:after="0" w:line="255"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Governing Law</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shall be construed in accordance with and governed by the laws of the State of New York.</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jc w:val="both"/>
        <w:ind w:firstLine="458"/>
        <w:spacing w:after="0" w:line="264" w:lineRule="auto"/>
        <w:rPr>
          <w:sz w:val="20"/>
          <w:szCs w:val="20"/>
          <w:color w:val="auto"/>
        </w:rPr>
      </w:pPr>
      <w:r>
        <w:rPr>
          <w:rFonts w:ascii="Arial" w:cs="Arial" w:eastAsia="Arial" w:hAnsi="Arial"/>
          <w:sz w:val="18"/>
          <w:szCs w:val="18"/>
          <w:color w:val="auto"/>
        </w:rPr>
        <w:t>We are authorized to issue 280,000,000 shares of common stock, $0.10 par value per share. Each holder of our common stock is entitled to one vote for each share held. Shareholders do not have the right to cumulate their votes in elections of directors. Accordingly, directors are elected by a plurality of the votes cast by the shares entitled to vote.</w:t>
      </w:r>
    </w:p>
    <w:p>
      <w:pPr>
        <w:spacing w:after="0" w:line="208"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color w:val="auto"/>
        </w:rPr>
        <w:t>Our common stock is listed on The New York Stock Exchange. Holders of our common stock will be entitled to dividends on a pro rata basis upon declaration of dividends by our board of directors. Dividends will be payable only out of unreserved and unrestricted surplus that is legally available for the payment of dividends. Dividends that may be declared on our common stock will be paid in an equal amount to the holder of each share. No pre-emptive rights are conferred upon the holders of such stock and there are no liquidation or conversion rights. There are no redemption or sinking fund provisions and there is no liability to further calls or to assessments by us. Any determination to declare or pay dividends in the future will be at the discretion of our board of directors and will depend on our results of operations, financial condition, contractual or legal restrictions and other factors deemed relevant by our board of directors. Upon our liquidation, holders of our common stock will be entitled to a pro rata distribution of our assets, after payment of all amounts owed to our creditors.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56" w:lineRule="exact"/>
        <w:rPr>
          <w:sz w:val="20"/>
          <w:szCs w:val="20"/>
          <w:color w:val="auto"/>
        </w:rPr>
      </w:pPr>
    </w:p>
    <w:p>
      <w:pPr>
        <w:jc w:val="both"/>
        <w:ind w:firstLine="448"/>
        <w:spacing w:after="0" w:line="271" w:lineRule="auto"/>
        <w:rPr>
          <w:sz w:val="20"/>
          <w:szCs w:val="20"/>
          <w:color w:val="auto"/>
        </w:rPr>
      </w:pPr>
      <w:r>
        <w:rPr>
          <w:rFonts w:ascii="Arial" w:cs="Arial" w:eastAsia="Arial" w:hAnsi="Arial"/>
          <w:sz w:val="17"/>
          <w:szCs w:val="17"/>
          <w:color w:val="auto"/>
        </w:rPr>
        <w:t>As of February 28, 2009, Brown &amp; Brown has no warrants outstanding (other than options issued under its employee stock option plans). We may issue warrants for the purchase of debt securities or common stock. Warrants may be issued independently or together with any other securities offered by any prospectus supplement and may be attached to or separate from such securities. Each series of warrants will be issued under a separate warrant agreement to be entered into between Brown &amp; Brown and a warrant agent specified in the applicable prospectus supplement. The warrant agent will act solely as an agent of Brown &amp; Brown in connection with the warrants of such series and will not assume any obligation or relationship of agency or trust for or with any holders of the warrants. Further terms of the warrants and the applicable warrant agreements will be set forth in the applicable prospectus supplement. Copies of the form of warrant agreement and warrant will be filed as exhibits to or incorporated by reference in the registration statement of which this prospectus forms a part, and the following summary is qualified in its entirety by reference to such exhibits.</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applicable prospectus supplement will describe the terms of the warrants, including, where applicable, the following:</w:t>
      </w:r>
    </w:p>
    <w:p>
      <w:pPr>
        <w:spacing w:after="0" w:line="225" w:lineRule="exact"/>
        <w:rPr>
          <w:sz w:val="20"/>
          <w:szCs w:val="20"/>
          <w:color w:val="auto"/>
        </w:rPr>
      </w:pP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or prices at which warrants will be issued;</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designation, terms and number of securities purchasable upon exercise of warrants;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designation and terms of the securities, if any, with which warrants are issued and the number of warrants issued with each security;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if any, on and after which warrants and the related securities will be separately transferable;</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at which each security purchasable upon exercise of warrants may be purchased;</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that right shall expire;</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minimum and/or maximum amount of warrants which may be exercised at any one time;</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and</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terms of the warrants, including terms, procedures and limitations relating to the exchange and exercise of the warrants.</w:t>
      </w:r>
    </w:p>
    <w:p>
      <w:pPr>
        <w:spacing w:after="0" w:line="248" w:lineRule="exact"/>
        <w:rPr>
          <w:rFonts w:ascii="Arial" w:cs="Arial" w:eastAsia="Arial" w:hAnsi="Arial"/>
          <w:sz w:val="18"/>
          <w:szCs w:val="18"/>
          <w:color w:val="auto"/>
        </w:rPr>
      </w:pPr>
    </w:p>
    <w:p>
      <w:pPr>
        <w:ind w:left="4940"/>
        <w:spacing w:after="0"/>
        <w:rPr>
          <w:rFonts w:ascii="Arial" w:cs="Arial" w:eastAsia="Arial" w:hAnsi="Arial"/>
          <w:sz w:val="18"/>
          <w:szCs w:val="18"/>
          <w:color w:val="auto"/>
        </w:rPr>
      </w:pPr>
      <w:r>
        <w:rPr>
          <w:rFonts w:ascii="Arial" w:cs="Arial" w:eastAsia="Arial" w:hAnsi="Arial"/>
          <w:sz w:val="18"/>
          <w:szCs w:val="18"/>
          <w:b w:val="1"/>
          <w:bCs w:val="1"/>
          <w:color w:val="auto"/>
        </w:rPr>
        <w:t>LEGAL MATTERS</w:t>
      </w:r>
    </w:p>
    <w:p>
      <w:pPr>
        <w:spacing w:after="0" w:line="256" w:lineRule="exact"/>
        <w:rPr>
          <w:sz w:val="20"/>
          <w:szCs w:val="20"/>
          <w:color w:val="auto"/>
        </w:rPr>
      </w:pPr>
    </w:p>
    <w:p>
      <w:pPr>
        <w:jc w:val="both"/>
        <w:ind w:firstLine="530"/>
        <w:spacing w:after="0" w:line="286" w:lineRule="auto"/>
        <w:rPr>
          <w:sz w:val="20"/>
          <w:szCs w:val="20"/>
          <w:color w:val="auto"/>
        </w:rPr>
      </w:pPr>
      <w:r>
        <w:rPr>
          <w:rFonts w:ascii="Arial" w:cs="Arial" w:eastAsia="Arial" w:hAnsi="Arial"/>
          <w:sz w:val="17"/>
          <w:szCs w:val="17"/>
          <w:color w:val="auto"/>
        </w:rPr>
        <w:t>Holland &amp; Knight LLP, Tampa, Florida will pass upon the validity of any securities offered under this prospectus and any prospectus supplement for Brown &amp; Brown. Certain legal matters with respect to the validity of the securities offered under this prospectus and any prospectus supplement will be passed upon for any underwriters, dealers or agents by counsel named in the applicable prospectus supplement.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financial statements incorporated in this Prospectus by reference from the Company’s Annual Report on Form 10-K and the effectiveness of Brown</w:t>
      </w:r>
    </w:p>
    <w:p>
      <w:pPr>
        <w:spacing w:after="0" w:line="46" w:lineRule="exact"/>
        <w:rPr>
          <w:sz w:val="20"/>
          <w:szCs w:val="20"/>
          <w:color w:val="auto"/>
        </w:rPr>
      </w:pPr>
    </w:p>
    <w:p>
      <w:pPr>
        <w:jc w:val="both"/>
        <w:ind w:firstLine="8"/>
        <w:spacing w:after="0" w:line="255" w:lineRule="auto"/>
        <w:tabs>
          <w:tab w:leader="none" w:pos="194"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Brown, Inc.’s internal control over financial reporting have been audited by Deloitte &amp; Touche LLP, an independent registered public accounting firm, as stated in their reports, which are incorporated herein by reference. Such financial statements have been so incorporated in reliance upon the reports of such firm given upon their authority as experts in accounting and auditing.</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56" w:lineRule="exact"/>
        <w:rPr>
          <w:sz w:val="20"/>
          <w:szCs w:val="20"/>
          <w:color w:val="auto"/>
        </w:rPr>
      </w:pPr>
    </w:p>
    <w:p>
      <w:pPr>
        <w:jc w:val="both"/>
        <w:ind w:firstLine="717"/>
        <w:spacing w:after="0" w:line="276" w:lineRule="auto"/>
        <w:rPr>
          <w:sz w:val="20"/>
          <w:szCs w:val="20"/>
          <w:color w:val="auto"/>
        </w:rPr>
      </w:pPr>
      <w:r>
        <w:rPr>
          <w:rFonts w:ascii="Arial" w:cs="Arial" w:eastAsia="Arial" w:hAnsi="Arial"/>
          <w:sz w:val="17"/>
          <w:szCs w:val="17"/>
          <w:color w:val="auto"/>
        </w:rPr>
        <w:t>We file annual, quarterly and special reports, proxy statements and other information with the SEC. This prospectus, which forms part of the registration statement, does not contain all of the information contained in the registration statement or the exhibits to the registration statement. You should note that where we summarize in this prospectus the material terms of any contract, agreement or other document filed as an exhibit to the registration statement, the summary information provided in this prospectus is less complete than the actual contract, agreement or document. You should refer to the exhibits filed with the registration statement for copies of the actual contract, agreement or document.</w:t>
      </w:r>
    </w:p>
    <w:p>
      <w:pPr>
        <w:spacing w:after="0" w:line="200" w:lineRule="exact"/>
        <w:rPr>
          <w:sz w:val="20"/>
          <w:szCs w:val="20"/>
          <w:color w:val="auto"/>
        </w:rPr>
      </w:pPr>
    </w:p>
    <w:p>
      <w:pPr>
        <w:jc w:val="both"/>
        <w:ind w:firstLine="505"/>
        <w:spacing w:after="0" w:line="255" w:lineRule="auto"/>
        <w:rPr>
          <w:sz w:val="20"/>
          <w:szCs w:val="20"/>
          <w:color w:val="auto"/>
        </w:rPr>
      </w:pPr>
      <w:r>
        <w:rPr>
          <w:rFonts w:ascii="Arial" w:cs="Arial" w:eastAsia="Arial" w:hAnsi="Arial"/>
          <w:sz w:val="18"/>
          <w:szCs w:val="18"/>
          <w:color w:val="auto"/>
        </w:rPr>
        <w:t>For further information about our company and the securities offered in this prospectus, you should refer to the registration statement and its exhibits. Our SEC filings are available to the public from the SEC’s website at http://www.sec.gov. You may also read and copy any document we file at the SEC’s public reference room in Washington D.C. located at 100 F Street, N.E., Room 1580, Washington, D.C. 20549. You may also obtain copies of any document we file at prescribed rates by writing to the Public Reference Section of the SEC at that address. Please call the SEC at 1-800-SEC-0330 for further information on the public reference room. Information about us, including our SEC filings, is also available on our website at http://www.bbinsurance.com; however, that information is not part of this prospectus.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56" w:lineRule="exact"/>
        <w:rPr>
          <w:sz w:val="20"/>
          <w:szCs w:val="20"/>
          <w:color w:val="auto"/>
        </w:rPr>
      </w:pPr>
    </w:p>
    <w:p>
      <w:pPr>
        <w:ind w:firstLine="633"/>
        <w:spacing w:after="0" w:line="277" w:lineRule="auto"/>
        <w:rPr>
          <w:sz w:val="20"/>
          <w:szCs w:val="20"/>
          <w:color w:val="auto"/>
        </w:rPr>
      </w:pPr>
      <w:r>
        <w:rPr>
          <w:rFonts w:ascii="Arial" w:cs="Arial" w:eastAsia="Arial" w:hAnsi="Arial"/>
          <w:sz w:val="18"/>
          <w:szCs w:val="18"/>
          <w:color w:val="auto"/>
        </w:rPr>
        <w:t>The information incorporated by reference is considered to be a part of this prospectus, and any later information that we file with the SEC will automatically update and supersede this information. The documents and other information incorporated by reference are:</w:t>
      </w:r>
    </w:p>
    <w:p>
      <w:pPr>
        <w:spacing w:after="0" w:line="170" w:lineRule="exact"/>
        <w:rPr>
          <w:sz w:val="20"/>
          <w:szCs w:val="20"/>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2008.</w:t>
      </w:r>
    </w:p>
    <w:p>
      <w:pPr>
        <w:spacing w:after="0" w:line="225" w:lineRule="exact"/>
        <w:rPr>
          <w:rFonts w:ascii="Arial" w:cs="Arial" w:eastAsia="Arial" w:hAnsi="Arial"/>
          <w:sz w:val="18"/>
          <w:szCs w:val="18"/>
          <w:color w:val="auto"/>
        </w:rPr>
      </w:pPr>
    </w:p>
    <w:p>
      <w:pPr>
        <w:jc w:val="both"/>
        <w:ind w:left="920" w:hanging="453"/>
        <w:spacing w:after="0" w:line="257"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documents filed under Sections 13(a), 13(c), 14 or 15(d) of the Exchange Act after the date of this prospectus and before the termination of the offering of the securities described in this prospectus (other than any information furnished pursuant to Item 2.02 or Item 7.01 of any Current Report on Form 8-K unless we specifically state in such Current Report that such information is to be considered “filed” under the Exchange Act, or we incorporate it by reference into a filing under the Securities Act of 1933, amended (the “Securities Act”) or the Securities Exchange Act of 1934, as amended (the “Exchange Act”)).</w:t>
      </w:r>
    </w:p>
    <w:p>
      <w:pPr>
        <w:spacing w:after="0" w:line="215"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 this prospectus shall be deemed to be modified or superseded for purposes of this prospectus to the extent that a statement contained in this prospectus or in any other subsequently filed document which also is or is deemed to be incorporated by reference in this prospectus modifies or supersedes such statement. Any statement so modified or superseded shall not be deemed, except as so modified or superseded, to constitute a part of this prospectus.</w:t>
      </w:r>
    </w:p>
    <w:p>
      <w:pPr>
        <w:spacing w:after="0" w:line="198"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Notwithstanding the foregoing, we are not incorporating any document or information that we deemed within a Current Report on Form 8-K or Form 8-K/A to have been furnished and not filed in accordance with SEC rules. You can obtain any of the documents incorporated by reference in this prospectus from the SEC through the SEC’s web site at the address described above. Documents incorporated by reference are also available from us without charge excluding any exhibits to those documents. You can request those documents by visiting our website at http://www.bbinsurance.com, by calling (813) 222-4100, or by making a written request to our Corporate Secretary at: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Brown &amp; Brown,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Laurel L. Grammig, Esq., Vice President, Secretary and Chief Corporate Counsel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3101 W. Martin Luther King, Jr. Blvd., Ste. 400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Tampa, Florida 33607</w:t>
      </w:r>
    </w:p>
    <w:p>
      <w:pPr>
        <w:spacing w:after="0" w:line="238" w:lineRule="exact"/>
        <w:rPr>
          <w:sz w:val="20"/>
          <w:szCs w:val="20"/>
          <w:color w:val="auto"/>
        </w:rPr>
      </w:pPr>
    </w:p>
    <w:p>
      <w:pPr>
        <w:jc w:val="both"/>
        <w:ind w:right="20" w:firstLine="469"/>
        <w:spacing w:after="0" w:line="277" w:lineRule="auto"/>
        <w:rPr>
          <w:sz w:val="20"/>
          <w:szCs w:val="20"/>
          <w:color w:val="auto"/>
        </w:rPr>
      </w:pPr>
      <w:r>
        <w:rPr>
          <w:rFonts w:ascii="Arial" w:cs="Arial" w:eastAsia="Arial" w:hAnsi="Arial"/>
          <w:sz w:val="18"/>
          <w:szCs w:val="18"/>
          <w:color w:val="auto"/>
        </w:rPr>
        <w:t>Please note that information contained in our website, whether currently posted or posted in the future, is not a part of this prospectus or the documents incorporated by reference in this prospectus.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403860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t>Brown &amp; Brown,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Debt Securities, Common Stock</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228600</wp:posOffset>
            </wp:positionV>
            <wp:extent cx="14662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240665</wp:posOffset>
            </wp:positionV>
            <wp:extent cx="14662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March 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220980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728980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56"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All expenses in connection with the issuance and distribution of the securities being registered will be paid by Brown &amp; Brown. The following is an itemized statement of these expenses: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 (2)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Indenture Trustees’ Fees and Expenses</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Printing, Engraving and Mailing Expenses</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Rating Agency Fees</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r>
      <w:tr>
        <w:trPr>
          <w:trHeight w:val="223"/>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r>
      <w:tr>
        <w:trPr>
          <w:trHeight w:val="216"/>
        </w:trPr>
        <w:tc>
          <w:tcPr>
            <w:tcW w:w="6860" w:type="dxa"/>
            <w:vAlign w:val="bottom"/>
            <w:tcBorders>
              <w:top w:val="single" w:sz="8" w:color="CCEEFF"/>
            </w:tcBorders>
          </w:tcPr>
          <w:p>
            <w:pPr>
              <w:spacing w:after="0"/>
              <w:rPr>
                <w:sz w:val="18"/>
                <w:szCs w:val="18"/>
                <w:color w:val="auto"/>
              </w:rPr>
            </w:pPr>
          </w:p>
        </w:tc>
        <w:tc>
          <w:tcPr>
            <w:tcW w:w="38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r>
      <w:tr>
        <w:trPr>
          <w:trHeight w:val="27"/>
        </w:trPr>
        <w:tc>
          <w:tcPr>
            <w:tcW w:w="686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firstLine="8"/>
        <w:spacing w:after="0" w:line="277" w:lineRule="auto"/>
        <w:tabs>
          <w:tab w:leader="none" w:pos="273"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 Rules 456(b) and 457(r) under the Securities Act, the registration fee will be paid at the time of any particular offering of securities under this Registration Statement.</w:t>
      </w:r>
    </w:p>
    <w:p>
      <w:pPr>
        <w:spacing w:after="0" w:line="197"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of these fees and expenses is not currently determinable.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56" w:lineRule="exact"/>
        <w:rPr>
          <w:sz w:val="20"/>
          <w:szCs w:val="20"/>
          <w:color w:val="auto"/>
        </w:rPr>
      </w:pPr>
    </w:p>
    <w:p>
      <w:pPr>
        <w:jc w:val="both"/>
        <w:ind w:firstLine="483"/>
        <w:spacing w:after="0" w:line="264" w:lineRule="auto"/>
        <w:rPr>
          <w:sz w:val="20"/>
          <w:szCs w:val="20"/>
          <w:color w:val="auto"/>
        </w:rPr>
      </w:pPr>
      <w:r>
        <w:rPr>
          <w:rFonts w:ascii="Arial" w:cs="Arial" w:eastAsia="Arial" w:hAnsi="Arial"/>
          <w:sz w:val="18"/>
          <w:szCs w:val="18"/>
          <w:color w:val="auto"/>
        </w:rPr>
        <w:t>Brown &amp; Brown is a Florida corporation. Reference is made to Section 607.0850 of the Florida Business Corporation Act, which permits, and in some cases requires, indemnification of directors, officers, employees, and agents of Brown &amp; Brown, under certain circumstances and subject to certain limitations.</w:t>
      </w:r>
    </w:p>
    <w:p>
      <w:pPr>
        <w:spacing w:after="0" w:line="208" w:lineRule="exact"/>
        <w:rPr>
          <w:sz w:val="20"/>
          <w:szCs w:val="20"/>
          <w:color w:val="auto"/>
        </w:rPr>
      </w:pPr>
    </w:p>
    <w:p>
      <w:pPr>
        <w:jc w:val="both"/>
        <w:ind w:firstLine="450"/>
        <w:spacing w:after="0" w:line="272" w:lineRule="auto"/>
        <w:rPr>
          <w:sz w:val="20"/>
          <w:szCs w:val="20"/>
          <w:color w:val="auto"/>
        </w:rPr>
      </w:pPr>
      <w:r>
        <w:rPr>
          <w:rFonts w:ascii="Arial" w:cs="Arial" w:eastAsia="Arial" w:hAnsi="Arial"/>
          <w:sz w:val="17"/>
          <w:szCs w:val="17"/>
          <w:color w:val="auto"/>
        </w:rPr>
        <w:t>Under Article VII of Brown &amp; Brown’s Bylaws, Brown &amp; Brown is required to indemnify its officers and directors, and officers and directors of certain other corporations serving as such at the request of Brown &amp; Brown, against all costs and liabilities incurred by such persons by reason of their having been an officer or director of Brown &amp; Brown or such other corporation, provided that such indemnification shall not apply with respect to any matter as to which such officer or director shall be finally adjudged to have been individually guilty of gross negligence or willful malfeasance in the performance of his or her duties as a director or officer, and provided further that the indemnification shall, with respect to any settlement of any suit, proceeding, or claim, include reimbursement of any amounts paid and expenses reasonably incurred in settling any such suit, proceeding, or claim when, in the judgment of the board of directors, such settlement and reimbursement appeared to be in the best interests of Brown &amp; Brown.</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Brown &amp; Brown has purchased insurance with respect to, among other things, liabilities that may arise under the statutory provisions referred to above.</w:t>
      </w:r>
    </w:p>
    <w:p>
      <w:pPr>
        <w:spacing w:after="0" w:line="275"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8"/>
          <w:szCs w:val="18"/>
          <w:color w:val="auto"/>
        </w:rPr>
        <w:t>The general effect of the foregoing provisions may be to reduce the circumstances in which an officer or director may be required to bear the economic burden of the foregoing liabilities and expense.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ind w:left="160"/>
              <w:spacing w:after="0"/>
              <w:rPr>
                <w:sz w:val="20"/>
                <w:szCs w:val="20"/>
                <w:color w:val="auto"/>
              </w:rPr>
            </w:pPr>
            <w:r>
              <w:rPr>
                <w:rFonts w:ascii="Arial" w:cs="Arial" w:eastAsia="Arial" w:hAnsi="Arial"/>
                <w:sz w:val="18"/>
                <w:szCs w:val="18"/>
                <w:b w:val="1"/>
                <w:bCs w:val="1"/>
                <w:color w:val="auto"/>
              </w:rPr>
              <w:t>Exhibit</w:t>
            </w:r>
          </w:p>
        </w:tc>
        <w:tc>
          <w:tcPr>
            <w:tcW w:w="38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41"/>
        </w:trPr>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Number</w:t>
            </w:r>
          </w:p>
        </w:tc>
        <w:tc>
          <w:tcPr>
            <w:tcW w:w="380" w:type="dxa"/>
            <w:vAlign w:val="bottom"/>
          </w:tcPr>
          <w:p>
            <w:pPr>
              <w:spacing w:after="0"/>
              <w:rPr>
                <w:sz w:val="20"/>
                <w:szCs w:val="20"/>
                <w:color w:val="auto"/>
              </w:rPr>
            </w:pPr>
          </w:p>
        </w:tc>
        <w:tc>
          <w:tcPr>
            <w:tcW w:w="1016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of Underwriting Agreement.*</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3"/>
              </w:rPr>
              <w:t>Articles of Amendment to Articles of Incorporation (adopted April 24, 2003) (incorporated by reference to Exhibit 3a to Form 10-Q for the</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quarter ended March 31, 2003), and Amended and Restated Articles of Incorporation (incorporated by reference to Exhibit 3a to Form 10-Q</w:t>
            </w:r>
          </w:p>
        </w:tc>
      </w:tr>
      <w:tr>
        <w:trPr>
          <w:trHeight w:val="230"/>
        </w:trPr>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 the quarter ended March 31, 1999).</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Bylaws (incorporated by reference to Exhibit 3b to Form 10-K for the year ended December 31, 2002).</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of Certificate for Shares of Brown &amp; Brown’s Common Stock.</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of Indenture.</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of Debt Security.*</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of Warrant.*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of Warrant Agreement.*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of Unit.*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Opinion of Holland &amp; Knight LLP.</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12.1</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Consent of Deloitte &amp; Touche LLP, independent certified public accountants.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23.2</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Consent of Holland &amp; Knight LLP (included in opinion filed as Exhibit 5.1).</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24.1</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Power of Attorney of certain directors and officers of Brown &amp; Brown.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25.1</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T-1 Statement of Eligibility of Trustee under the Trust Indenture Act of 1939.*</w:t>
            </w:r>
          </w:p>
        </w:tc>
      </w:tr>
    </w:tbl>
    <w:p>
      <w:pPr>
        <w:spacing w:after="0" w:line="22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be filed with a Current Report on Form 8-K or a Pre-Effective or Post-Effective Amendment to this registration statement.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760" w:hanging="293"/>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160" w:hanging="243"/>
        <w:spacing w:after="0"/>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600" w:hanging="224"/>
        <w:spacing w:after="0"/>
        <w:tabs>
          <w:tab w:leader="none" w:pos="16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225" w:lineRule="exact"/>
        <w:rPr>
          <w:rFonts w:ascii="Arial" w:cs="Arial" w:eastAsia="Arial" w:hAnsi="Arial"/>
          <w:sz w:val="18"/>
          <w:szCs w:val="18"/>
          <w:color w:val="auto"/>
        </w:rPr>
      </w:pPr>
    </w:p>
    <w:p>
      <w:pPr>
        <w:jc w:val="both"/>
        <w:ind w:left="920" w:firstLine="580"/>
        <w:spacing w:after="0" w:line="255" w:lineRule="auto"/>
        <w:tabs>
          <w:tab w:leader="none" w:pos="1771" w:val="left"/>
        </w:tabs>
        <w:numPr>
          <w:ilvl w:val="3"/>
          <w:numId w:val="11"/>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ind w:left="460" w:firstLine="468"/>
        <w:spacing w:after="0" w:line="277" w:lineRule="auto"/>
        <w:tabs>
          <w:tab w:leader="none" w:pos="123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left="460" w:firstLine="518"/>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clauses (i), (ii) and (iii)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periodic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jc w:val="both"/>
        <w:ind w:firstLine="480"/>
        <w:spacing w:after="0" w:line="264" w:lineRule="auto"/>
        <w:tabs>
          <w:tab w:leader="none" w:pos="726"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firstLine="637"/>
        <w:spacing w:after="0" w:line="277" w:lineRule="auto"/>
        <w:tabs>
          <w:tab w:leader="none" w:pos="900" w:val="left"/>
        </w:tabs>
        <w:numPr>
          <w:ilvl w:val="3"/>
          <w:numId w:val="1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700" w:hanging="243"/>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225" w:lineRule="exact"/>
        <w:rPr>
          <w:rFonts w:ascii="Arial" w:cs="Arial" w:eastAsia="Arial" w:hAnsi="Arial"/>
          <w:sz w:val="18"/>
          <w:szCs w:val="18"/>
          <w:color w:val="auto"/>
        </w:rPr>
      </w:pPr>
    </w:p>
    <w:p>
      <w:pPr>
        <w:ind w:left="460" w:right="20" w:firstLine="479"/>
        <w:spacing w:after="0" w:line="277" w:lineRule="auto"/>
        <w:tabs>
          <w:tab w:leader="none" w:pos="1150" w:val="left"/>
        </w:tabs>
        <w:numPr>
          <w:ilvl w:val="4"/>
          <w:numId w:val="1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jc w:val="both"/>
        <w:ind w:left="460" w:firstLine="636"/>
        <w:spacing w:after="0" w:line="287" w:lineRule="auto"/>
        <w:tabs>
          <w:tab w:leader="none" w:pos="1373" w:val="left"/>
        </w:tabs>
        <w:numPr>
          <w:ilvl w:val="5"/>
          <w:numId w:val="14"/>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2" w:lineRule="exact"/>
        <w:rPr>
          <w:rFonts w:ascii="Arial" w:cs="Arial" w:eastAsia="Arial" w:hAnsi="Arial"/>
          <w:sz w:val="16"/>
          <w:szCs w:val="16"/>
          <w:color w:val="auto"/>
        </w:rPr>
      </w:pPr>
    </w:p>
    <w:p>
      <w:pPr>
        <w:ind w:firstLine="525"/>
        <w:spacing w:after="0" w:line="277" w:lineRule="auto"/>
        <w:tabs>
          <w:tab w:leader="none" w:pos="776"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70" w:lineRule="exact"/>
        <w:rPr>
          <w:sz w:val="20"/>
          <w:szCs w:val="20"/>
          <w:color w:val="auto"/>
        </w:rPr>
      </w:pPr>
    </w:p>
    <w:p>
      <w:pPr>
        <w:jc w:val="both"/>
        <w:ind w:firstLine="256"/>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sz w:val="20"/>
          <w:szCs w:val="20"/>
          <w:color w:val="auto"/>
        </w:rPr>
      </w:pPr>
    </w:p>
    <w:p>
      <w:pPr>
        <w:ind w:left="1380" w:hanging="227"/>
        <w:spacing w:after="0"/>
        <w:tabs>
          <w:tab w:leader="none" w:pos="13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Rule 424;</w:t>
      </w:r>
    </w:p>
    <w:p>
      <w:pPr>
        <w:spacing w:after="0" w:line="210" w:lineRule="exact"/>
        <w:rPr>
          <w:rFonts w:ascii="Arial" w:cs="Arial" w:eastAsia="Arial" w:hAnsi="Arial"/>
          <w:sz w:val="17"/>
          <w:szCs w:val="17"/>
          <w:color w:val="auto"/>
        </w:rPr>
      </w:pPr>
    </w:p>
    <w:p>
      <w:pPr>
        <w:ind w:left="460" w:right="20" w:firstLine="490"/>
        <w:spacing w:after="0" w:line="277" w:lineRule="auto"/>
        <w:tabs>
          <w:tab w:leader="none" w:pos="120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an undersigned Registrant or used or referred to by the undersigned Registrant;</w:t>
      </w:r>
    </w:p>
    <w:p>
      <w:pPr>
        <w:spacing w:after="0" w:line="34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83185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700" w:top="517" w:right="239" w:bottom="1440" w:gutter="0" w:footer="0" w:header="0"/>
        </w:sectPr>
      </w:pPr>
    </w:p>
    <w:bookmarkStart w:id="15" w:name="page16"/>
    <w:bookmarkEnd w:id="15"/>
    <w:p>
      <w:pPr>
        <w:ind w:left="920" w:right="20" w:firstLine="681"/>
        <w:spacing w:after="0" w:line="277" w:lineRule="auto"/>
        <w:tabs>
          <w:tab w:leader="none" w:pos="1929" w:val="left"/>
        </w:tabs>
        <w:numPr>
          <w:ilvl w:val="5"/>
          <w:numId w:val="1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680" w:hanging="304"/>
        <w:spacing w:after="0"/>
        <w:tabs>
          <w:tab w:leader="none" w:pos="1680" w:val="left"/>
        </w:tabs>
        <w:numPr>
          <w:ilvl w:val="4"/>
          <w:numId w:val="1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left="460" w:firstLine="468"/>
        <w:spacing w:after="0" w:line="257" w:lineRule="auto"/>
        <w:tabs>
          <w:tab w:leader="none" w:pos="1174" w:val="left"/>
        </w:tabs>
        <w:numPr>
          <w:ilvl w:val="3"/>
          <w:numId w:val="19"/>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any liability under the Securities Act of 1933, as amended, each filing of registrant’s annual report pursuant to Section 13(a) or 15(d) of the Securities Exchange Act of 1934, as amended, (and, where applicable, each filing of an employee benefit plan’s annual report pursuant to Section 15(d) of the Securities Exchange Act of 1934, as amended)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jc w:val="both"/>
        <w:ind w:firstLine="556"/>
        <w:spacing w:after="0" w:line="257" w:lineRule="auto"/>
        <w:tabs>
          <w:tab w:leader="none" w:pos="843"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jc w:val="both"/>
        <w:ind w:firstLine="654"/>
        <w:spacing w:after="0" w:line="264" w:lineRule="auto"/>
        <w:tabs>
          <w:tab w:leader="none" w:pos="951"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81" w:lineRule="exact"/>
        <w:rPr>
          <w:rFonts w:ascii="Arial" w:cs="Arial" w:eastAsia="Arial" w:hAnsi="Arial"/>
          <w:sz w:val="18"/>
          <w:szCs w:val="18"/>
          <w:color w:val="auto"/>
        </w:rPr>
      </w:pPr>
    </w:p>
    <w:p>
      <w:pPr>
        <w:jc w:val="both"/>
        <w:ind w:firstLine="507"/>
        <w:spacing w:after="0" w:line="271" w:lineRule="auto"/>
        <w:tabs>
          <w:tab w:leader="none" w:pos="799"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that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Daytona Beach, State of Florida, on March 4, 2009.</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BROWN &amp; BROWN, INC.</w:t>
      </w:r>
    </w:p>
    <w:p>
      <w:pPr>
        <w:spacing w:after="0" w:line="225" w:lineRule="exact"/>
        <w:rPr>
          <w:sz w:val="20"/>
          <w:szCs w:val="20"/>
          <w:color w:val="auto"/>
        </w:rPr>
      </w:pPr>
    </w:p>
    <w:p>
      <w:pPr>
        <w:ind w:left="572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14605</wp:posOffset>
            </wp:positionV>
            <wp:extent cx="33877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8772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 Hyatt Brown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552"/>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March 4, 2009.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6"/>
              </w:rPr>
              <w:t>Signature</w:t>
            </w:r>
          </w:p>
        </w:tc>
        <w:tc>
          <w:tcPr>
            <w:tcW w:w="19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Title</w:t>
            </w:r>
          </w:p>
        </w:tc>
        <w:tc>
          <w:tcPr>
            <w:tcW w:w="2080" w:type="dxa"/>
            <w:vAlign w:val="bottom"/>
          </w:tcPr>
          <w:p>
            <w:pPr>
              <w:spacing w:after="0"/>
              <w:rPr>
                <w:sz w:val="20"/>
                <w:szCs w:val="20"/>
                <w:color w:val="auto"/>
              </w:rPr>
            </w:pPr>
          </w:p>
        </w:tc>
      </w:tr>
      <w:tr>
        <w:trPr>
          <w:trHeight w:val="439"/>
        </w:trPr>
        <w:tc>
          <w:tcPr>
            <w:tcW w:w="1920" w:type="dxa"/>
            <w:vAlign w:val="bottom"/>
            <w:gridSpan w:val="2"/>
          </w:tcPr>
          <w:p>
            <w:pPr>
              <w:jc w:val="right"/>
              <w:ind w:right="125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680" w:type="dxa"/>
            <w:vAlign w:val="bottom"/>
            <w:gridSpan w:val="3"/>
          </w:tcPr>
          <w:p>
            <w:pPr>
              <w:ind w:left="2040"/>
              <w:spacing w:after="0"/>
              <w:rPr>
                <w:sz w:val="20"/>
                <w:szCs w:val="20"/>
                <w:color w:val="auto"/>
              </w:rPr>
            </w:pPr>
            <w:r>
              <w:rPr>
                <w:rFonts w:ascii="Arial" w:cs="Arial" w:eastAsia="Arial" w:hAnsi="Arial"/>
                <w:sz w:val="18"/>
                <w:szCs w:val="18"/>
                <w:color w:val="auto"/>
              </w:rPr>
              <w:t>Chairman of the Board and</w:t>
            </w:r>
          </w:p>
        </w:tc>
      </w:tr>
      <w:tr>
        <w:trPr>
          <w:trHeight w:val="202"/>
        </w:trPr>
        <w:tc>
          <w:tcPr>
            <w:tcW w:w="20" w:type="dxa"/>
            <w:vAlign w:val="bottom"/>
          </w:tcPr>
          <w:p>
            <w:pPr>
              <w:spacing w:after="0"/>
              <w:rPr>
                <w:sz w:val="17"/>
                <w:szCs w:val="17"/>
                <w:color w:val="auto"/>
              </w:rPr>
            </w:pPr>
          </w:p>
        </w:tc>
        <w:tc>
          <w:tcPr>
            <w:tcW w:w="280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J. Hyatt Brown</w:t>
            </w:r>
          </w:p>
        </w:tc>
        <w:tc>
          <w:tcPr>
            <w:tcW w:w="1920" w:type="dxa"/>
            <w:vAlign w:val="bottom"/>
            <w:tcBorders>
              <w:top w:val="single" w:sz="8" w:color="auto"/>
            </w:tcBorders>
          </w:tcPr>
          <w:p>
            <w:pPr>
              <w:spacing w:after="0"/>
              <w:rPr>
                <w:sz w:val="17"/>
                <w:szCs w:val="17"/>
                <w:color w:val="auto"/>
              </w:rPr>
            </w:pPr>
          </w:p>
        </w:tc>
        <w:tc>
          <w:tcPr>
            <w:tcW w:w="6680" w:type="dxa"/>
            <w:vAlign w:val="bottom"/>
            <w:gridSpan w:val="3"/>
          </w:tcPr>
          <w:p>
            <w:pPr>
              <w:ind w:left="2040"/>
              <w:spacing w:after="0" w:line="201" w:lineRule="exact"/>
              <w:rPr>
                <w:sz w:val="20"/>
                <w:szCs w:val="20"/>
                <w:color w:val="auto"/>
              </w:rPr>
            </w:pPr>
            <w:r>
              <w:rPr>
                <w:rFonts w:ascii="Arial" w:cs="Arial" w:eastAsia="Arial" w:hAnsi="Arial"/>
                <w:sz w:val="18"/>
                <w:szCs w:val="18"/>
                <w:color w:val="auto"/>
              </w:rPr>
              <w:t>Chief Executive Officer</w:t>
            </w:r>
          </w:p>
        </w:tc>
      </w:tr>
      <w:tr>
        <w:trPr>
          <w:trHeight w:val="230"/>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680" w:type="dxa"/>
            <w:vAlign w:val="bottom"/>
            <w:gridSpan w:val="3"/>
          </w:tcPr>
          <w:p>
            <w:pPr>
              <w:ind w:left="2040"/>
              <w:spacing w:after="0"/>
              <w:rPr>
                <w:sz w:val="20"/>
                <w:szCs w:val="20"/>
                <w:color w:val="auto"/>
              </w:rPr>
            </w:pPr>
            <w:r>
              <w:rPr>
                <w:rFonts w:ascii="Arial" w:cs="Arial" w:eastAsia="Arial" w:hAnsi="Arial"/>
                <w:sz w:val="18"/>
                <w:szCs w:val="18"/>
                <w:color w:val="auto"/>
              </w:rPr>
              <w:t>(Principal Executive Officer)</w:t>
            </w:r>
          </w:p>
        </w:tc>
      </w:tr>
      <w:tr>
        <w:trPr>
          <w:trHeight w:val="439"/>
        </w:trPr>
        <w:tc>
          <w:tcPr>
            <w:tcW w:w="1920" w:type="dxa"/>
            <w:vAlign w:val="bottom"/>
            <w:gridSpan w:val="2"/>
          </w:tcPr>
          <w:p>
            <w:pPr>
              <w:jc w:val="right"/>
              <w:ind w:right="125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680" w:type="dxa"/>
            <w:vAlign w:val="bottom"/>
            <w:gridSpan w:val="3"/>
          </w:tcPr>
          <w:p>
            <w:pPr>
              <w:ind w:left="2040"/>
              <w:spacing w:after="0"/>
              <w:rPr>
                <w:sz w:val="20"/>
                <w:szCs w:val="20"/>
                <w:color w:val="auto"/>
              </w:rPr>
            </w:pPr>
            <w:r>
              <w:rPr>
                <w:rFonts w:ascii="Arial" w:cs="Arial" w:eastAsia="Arial" w:hAnsi="Arial"/>
                <w:sz w:val="18"/>
                <w:szCs w:val="18"/>
                <w:color w:val="auto"/>
              </w:rPr>
              <w:t>Senior Vice President, Treasurer and</w:t>
            </w:r>
          </w:p>
        </w:tc>
      </w:tr>
      <w:tr>
        <w:trPr>
          <w:trHeight w:val="202"/>
        </w:trPr>
        <w:tc>
          <w:tcPr>
            <w:tcW w:w="20" w:type="dxa"/>
            <w:vAlign w:val="bottom"/>
          </w:tcPr>
          <w:p>
            <w:pPr>
              <w:spacing w:after="0"/>
              <w:rPr>
                <w:sz w:val="17"/>
                <w:szCs w:val="17"/>
                <w:color w:val="auto"/>
              </w:rPr>
            </w:pPr>
          </w:p>
        </w:tc>
        <w:tc>
          <w:tcPr>
            <w:tcW w:w="280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Cory T. Walker</w:t>
            </w:r>
          </w:p>
        </w:tc>
        <w:tc>
          <w:tcPr>
            <w:tcW w:w="1920" w:type="dxa"/>
            <w:vAlign w:val="bottom"/>
            <w:tcBorders>
              <w:top w:val="single" w:sz="8" w:color="auto"/>
            </w:tcBorders>
          </w:tcPr>
          <w:p>
            <w:pPr>
              <w:spacing w:after="0"/>
              <w:rPr>
                <w:sz w:val="17"/>
                <w:szCs w:val="17"/>
                <w:color w:val="auto"/>
              </w:rPr>
            </w:pPr>
          </w:p>
        </w:tc>
        <w:tc>
          <w:tcPr>
            <w:tcW w:w="6680" w:type="dxa"/>
            <w:vAlign w:val="bottom"/>
            <w:gridSpan w:val="3"/>
          </w:tcPr>
          <w:p>
            <w:pPr>
              <w:ind w:left="2040"/>
              <w:spacing w:after="0" w:line="201" w:lineRule="exact"/>
              <w:rPr>
                <w:sz w:val="20"/>
                <w:szCs w:val="20"/>
                <w:color w:val="auto"/>
              </w:rPr>
            </w:pPr>
            <w:r>
              <w:rPr>
                <w:rFonts w:ascii="Arial" w:cs="Arial" w:eastAsia="Arial" w:hAnsi="Arial"/>
                <w:sz w:val="18"/>
                <w:szCs w:val="18"/>
                <w:color w:val="auto"/>
                <w:w w:val="99"/>
              </w:rPr>
              <w:t>Chief Financial Officer (Principal Financial and Accounting</w:t>
            </w:r>
          </w:p>
        </w:tc>
      </w:tr>
      <w:tr>
        <w:trPr>
          <w:trHeight w:val="230"/>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680" w:type="dxa"/>
            <w:vAlign w:val="bottom"/>
            <w:gridSpan w:val="3"/>
          </w:tcPr>
          <w:p>
            <w:pPr>
              <w:ind w:left="2040"/>
              <w:spacing w:after="0"/>
              <w:rPr>
                <w:sz w:val="20"/>
                <w:szCs w:val="20"/>
                <w:color w:val="auto"/>
              </w:rPr>
            </w:pPr>
            <w:r>
              <w:rPr>
                <w:rFonts w:ascii="Arial" w:cs="Arial" w:eastAsia="Arial" w:hAnsi="Arial"/>
                <w:sz w:val="18"/>
                <w:szCs w:val="18"/>
                <w:color w:val="auto"/>
              </w:rPr>
              <w:t>Officer)</w:t>
            </w:r>
          </w:p>
        </w:tc>
      </w:tr>
      <w:tr>
        <w:trPr>
          <w:trHeight w:val="439"/>
        </w:trPr>
        <w:tc>
          <w:tcPr>
            <w:tcW w:w="1920" w:type="dxa"/>
            <w:vAlign w:val="bottom"/>
            <w:gridSpan w:val="2"/>
          </w:tcPr>
          <w:p>
            <w:pPr>
              <w:jc w:val="right"/>
              <w:ind w:right="125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680" w:type="dxa"/>
            <w:vAlign w:val="bottom"/>
            <w:gridSpan w:val="3"/>
          </w:tcPr>
          <w:p>
            <w:pPr>
              <w:ind w:left="2040"/>
              <w:spacing w:after="0"/>
              <w:rPr>
                <w:sz w:val="20"/>
                <w:szCs w:val="20"/>
                <w:color w:val="auto"/>
              </w:rPr>
            </w:pPr>
            <w:r>
              <w:rPr>
                <w:rFonts w:ascii="Arial" w:cs="Arial" w:eastAsia="Arial" w:hAnsi="Arial"/>
                <w:sz w:val="18"/>
                <w:szCs w:val="18"/>
                <w:color w:val="auto"/>
              </w:rPr>
              <w:t>Vice Chairman of the Board and</w:t>
            </w:r>
          </w:p>
        </w:tc>
      </w:tr>
      <w:tr>
        <w:trPr>
          <w:trHeight w:val="230"/>
        </w:trPr>
        <w:tc>
          <w:tcPr>
            <w:tcW w:w="20" w:type="dxa"/>
            <w:vAlign w:val="bottom"/>
          </w:tcPr>
          <w:p>
            <w:pPr>
              <w:spacing w:after="0"/>
              <w:rPr>
                <w:sz w:val="20"/>
                <w:szCs w:val="20"/>
                <w:color w:val="auto"/>
              </w:rPr>
            </w:pPr>
          </w:p>
        </w:tc>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Jim W. Henderson</w:t>
            </w:r>
          </w:p>
        </w:tc>
        <w:tc>
          <w:tcPr>
            <w:tcW w:w="1920" w:type="dxa"/>
            <w:vAlign w:val="bottom"/>
            <w:tcBorders>
              <w:top w:val="single" w:sz="8" w:color="auto"/>
            </w:tcBorders>
          </w:tcPr>
          <w:p>
            <w:pPr>
              <w:spacing w:after="0"/>
              <w:rPr>
                <w:sz w:val="20"/>
                <w:szCs w:val="20"/>
                <w:color w:val="auto"/>
              </w:rPr>
            </w:pPr>
          </w:p>
        </w:tc>
        <w:tc>
          <w:tcPr>
            <w:tcW w:w="6680" w:type="dxa"/>
            <w:vAlign w:val="bottom"/>
            <w:gridSpan w:val="3"/>
          </w:tcPr>
          <w:p>
            <w:pPr>
              <w:ind w:left="2040"/>
              <w:spacing w:after="0"/>
              <w:rPr>
                <w:sz w:val="20"/>
                <w:szCs w:val="20"/>
                <w:color w:val="auto"/>
              </w:rPr>
            </w:pPr>
            <w:r>
              <w:rPr>
                <w:rFonts w:ascii="Arial" w:cs="Arial" w:eastAsia="Arial" w:hAnsi="Arial"/>
                <w:sz w:val="18"/>
                <w:szCs w:val="18"/>
                <w:color w:val="auto"/>
              </w:rPr>
              <w:t>Chief Operating Officer</w:t>
            </w:r>
          </w:p>
        </w:tc>
      </w:tr>
      <w:tr>
        <w:trPr>
          <w:trHeight w:val="425"/>
        </w:trPr>
        <w:tc>
          <w:tcPr>
            <w:tcW w:w="1920" w:type="dxa"/>
            <w:vAlign w:val="bottom"/>
            <w:gridSpan w:val="2"/>
          </w:tcPr>
          <w:p>
            <w:pPr>
              <w:jc w:val="right"/>
              <w:ind w:right="125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680" w:type="dxa"/>
            <w:vAlign w:val="bottom"/>
            <w:gridSpan w:val="3"/>
          </w:tcPr>
          <w:p>
            <w:pPr>
              <w:ind w:left="2040"/>
              <w:spacing w:after="0"/>
              <w:rPr>
                <w:sz w:val="20"/>
                <w:szCs w:val="20"/>
                <w:color w:val="auto"/>
              </w:rPr>
            </w:pPr>
            <w:r>
              <w:rPr>
                <w:rFonts w:ascii="Arial" w:cs="Arial" w:eastAsia="Arial" w:hAnsi="Arial"/>
                <w:sz w:val="18"/>
                <w:szCs w:val="18"/>
                <w:color w:val="auto"/>
              </w:rPr>
              <w:t>Director</w:t>
            </w:r>
          </w:p>
        </w:tc>
      </w:tr>
      <w:tr>
        <w:trPr>
          <w:trHeight w:val="230"/>
        </w:trPr>
        <w:tc>
          <w:tcPr>
            <w:tcW w:w="20" w:type="dxa"/>
            <w:vAlign w:val="bottom"/>
          </w:tcPr>
          <w:p>
            <w:pPr>
              <w:spacing w:after="0"/>
              <w:rPr>
                <w:sz w:val="20"/>
                <w:szCs w:val="20"/>
                <w:color w:val="auto"/>
              </w:rPr>
            </w:pPr>
          </w:p>
        </w:tc>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Samuel P. Bell, III</w:t>
            </w:r>
          </w:p>
        </w:tc>
        <w:tc>
          <w:tcPr>
            <w:tcW w:w="1920" w:type="dxa"/>
            <w:vAlign w:val="bottom"/>
            <w:tcBorders>
              <w:top w:val="single" w:sz="8" w:color="auto"/>
            </w:tcBorders>
          </w:tcPr>
          <w:p>
            <w:pPr>
              <w:spacing w:after="0"/>
              <w:rPr>
                <w:sz w:val="20"/>
                <w:szCs w:val="20"/>
                <w:color w:val="auto"/>
              </w:rPr>
            </w:pPr>
          </w:p>
        </w:tc>
        <w:tc>
          <w:tcPr>
            <w:tcW w:w="4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25"/>
        </w:trPr>
        <w:tc>
          <w:tcPr>
            <w:tcW w:w="1920" w:type="dxa"/>
            <w:vAlign w:val="bottom"/>
            <w:gridSpan w:val="2"/>
          </w:tcPr>
          <w:p>
            <w:pPr>
              <w:jc w:val="right"/>
              <w:ind w:right="125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680" w:type="dxa"/>
            <w:vAlign w:val="bottom"/>
            <w:gridSpan w:val="3"/>
          </w:tcPr>
          <w:p>
            <w:pPr>
              <w:ind w:left="2040"/>
              <w:spacing w:after="0"/>
              <w:rPr>
                <w:sz w:val="20"/>
                <w:szCs w:val="20"/>
                <w:color w:val="auto"/>
              </w:rPr>
            </w:pPr>
            <w:r>
              <w:rPr>
                <w:rFonts w:ascii="Arial" w:cs="Arial" w:eastAsia="Arial" w:hAnsi="Arial"/>
                <w:sz w:val="18"/>
                <w:szCs w:val="18"/>
                <w:color w:val="auto"/>
              </w:rPr>
              <w:t>Director</w:t>
            </w:r>
          </w:p>
        </w:tc>
      </w:tr>
      <w:tr>
        <w:trPr>
          <w:trHeight w:val="230"/>
        </w:trPr>
        <w:tc>
          <w:tcPr>
            <w:tcW w:w="20" w:type="dxa"/>
            <w:vAlign w:val="bottom"/>
          </w:tcPr>
          <w:p>
            <w:pPr>
              <w:spacing w:after="0"/>
              <w:rPr>
                <w:sz w:val="20"/>
                <w:szCs w:val="20"/>
                <w:color w:val="auto"/>
              </w:rPr>
            </w:pPr>
          </w:p>
        </w:tc>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Hugh M. Brown</w:t>
            </w:r>
          </w:p>
        </w:tc>
        <w:tc>
          <w:tcPr>
            <w:tcW w:w="1920" w:type="dxa"/>
            <w:vAlign w:val="bottom"/>
            <w:tcBorders>
              <w:top w:val="single" w:sz="8" w:color="auto"/>
            </w:tcBorders>
          </w:tcPr>
          <w:p>
            <w:pPr>
              <w:spacing w:after="0"/>
              <w:rPr>
                <w:sz w:val="20"/>
                <w:szCs w:val="20"/>
                <w:color w:val="auto"/>
              </w:rPr>
            </w:pPr>
          </w:p>
        </w:tc>
        <w:tc>
          <w:tcPr>
            <w:tcW w:w="4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25"/>
        </w:trPr>
        <w:tc>
          <w:tcPr>
            <w:tcW w:w="1920" w:type="dxa"/>
            <w:vAlign w:val="bottom"/>
            <w:gridSpan w:val="2"/>
          </w:tcPr>
          <w:p>
            <w:pPr>
              <w:jc w:val="right"/>
              <w:ind w:right="125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680" w:type="dxa"/>
            <w:vAlign w:val="bottom"/>
            <w:gridSpan w:val="3"/>
          </w:tcPr>
          <w:p>
            <w:pPr>
              <w:ind w:left="2040"/>
              <w:spacing w:after="0"/>
              <w:rPr>
                <w:sz w:val="20"/>
                <w:szCs w:val="20"/>
                <w:color w:val="auto"/>
              </w:rPr>
            </w:pPr>
            <w:r>
              <w:rPr>
                <w:rFonts w:ascii="Arial" w:cs="Arial" w:eastAsia="Arial" w:hAnsi="Arial"/>
                <w:sz w:val="18"/>
                <w:szCs w:val="18"/>
                <w:color w:val="auto"/>
              </w:rPr>
              <w:t>President and Director</w:t>
            </w:r>
          </w:p>
        </w:tc>
      </w:tr>
      <w:tr>
        <w:trPr>
          <w:trHeight w:val="230"/>
        </w:trPr>
        <w:tc>
          <w:tcPr>
            <w:tcW w:w="20" w:type="dxa"/>
            <w:vAlign w:val="bottom"/>
          </w:tcPr>
          <w:p>
            <w:pPr>
              <w:spacing w:after="0"/>
              <w:rPr>
                <w:sz w:val="20"/>
                <w:szCs w:val="20"/>
                <w:color w:val="auto"/>
              </w:rPr>
            </w:pPr>
          </w:p>
        </w:tc>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 Powell Brown</w:t>
            </w:r>
          </w:p>
        </w:tc>
        <w:tc>
          <w:tcPr>
            <w:tcW w:w="1920" w:type="dxa"/>
            <w:vAlign w:val="bottom"/>
            <w:tcBorders>
              <w:top w:val="single" w:sz="8" w:color="auto"/>
            </w:tcBorders>
          </w:tcPr>
          <w:p>
            <w:pPr>
              <w:spacing w:after="0"/>
              <w:rPr>
                <w:sz w:val="20"/>
                <w:szCs w:val="20"/>
                <w:color w:val="auto"/>
              </w:rPr>
            </w:pPr>
          </w:p>
        </w:tc>
        <w:tc>
          <w:tcPr>
            <w:tcW w:w="4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25"/>
        </w:trPr>
        <w:tc>
          <w:tcPr>
            <w:tcW w:w="1920" w:type="dxa"/>
            <w:vAlign w:val="bottom"/>
            <w:gridSpan w:val="2"/>
          </w:tcPr>
          <w:p>
            <w:pPr>
              <w:jc w:val="right"/>
              <w:ind w:right="125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680" w:type="dxa"/>
            <w:vAlign w:val="bottom"/>
            <w:gridSpan w:val="3"/>
          </w:tcPr>
          <w:p>
            <w:pPr>
              <w:ind w:left="2040"/>
              <w:spacing w:after="0"/>
              <w:rPr>
                <w:sz w:val="20"/>
                <w:szCs w:val="20"/>
                <w:color w:val="auto"/>
              </w:rPr>
            </w:pPr>
            <w:r>
              <w:rPr>
                <w:rFonts w:ascii="Arial" w:cs="Arial" w:eastAsia="Arial" w:hAnsi="Arial"/>
                <w:sz w:val="18"/>
                <w:szCs w:val="18"/>
                <w:color w:val="auto"/>
              </w:rPr>
              <w:t>Director</w:t>
            </w:r>
          </w:p>
        </w:tc>
      </w:tr>
      <w:tr>
        <w:trPr>
          <w:trHeight w:val="230"/>
        </w:trPr>
        <w:tc>
          <w:tcPr>
            <w:tcW w:w="20" w:type="dxa"/>
            <w:vAlign w:val="bottom"/>
          </w:tcPr>
          <w:p>
            <w:pPr>
              <w:spacing w:after="0"/>
              <w:rPr>
                <w:sz w:val="20"/>
                <w:szCs w:val="20"/>
                <w:color w:val="auto"/>
              </w:rPr>
            </w:pPr>
          </w:p>
        </w:tc>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Bradley Currey, Jr.</w:t>
            </w:r>
          </w:p>
        </w:tc>
        <w:tc>
          <w:tcPr>
            <w:tcW w:w="1920" w:type="dxa"/>
            <w:vAlign w:val="bottom"/>
            <w:tcBorders>
              <w:top w:val="single" w:sz="8" w:color="auto"/>
            </w:tcBorders>
          </w:tcPr>
          <w:p>
            <w:pPr>
              <w:spacing w:after="0"/>
              <w:rPr>
                <w:sz w:val="20"/>
                <w:szCs w:val="20"/>
                <w:color w:val="auto"/>
              </w:rPr>
            </w:pPr>
          </w:p>
        </w:tc>
        <w:tc>
          <w:tcPr>
            <w:tcW w:w="4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680" w:type="dxa"/>
            <w:vAlign w:val="bottom"/>
            <w:gridSpan w:val="3"/>
          </w:tcPr>
          <w:p>
            <w:pPr>
              <w:ind w:left="840"/>
              <w:spacing w:after="0"/>
              <w:rPr>
                <w:sz w:val="20"/>
                <w:szCs w:val="20"/>
                <w:color w:val="auto"/>
              </w:rPr>
            </w:pPr>
            <w:r>
              <w:rPr>
                <w:rFonts w:ascii="Arial" w:cs="Arial" w:eastAsia="Arial" w:hAnsi="Arial"/>
                <w:sz w:val="18"/>
                <w:szCs w:val="18"/>
                <w:color w:val="auto"/>
              </w:rPr>
              <w:t>II-5</w:t>
            </w:r>
          </w:p>
        </w:tc>
      </w:tr>
      <w:tr>
        <w:trPr>
          <w:trHeight w:val="108"/>
        </w:trPr>
        <w:tc>
          <w:tcPr>
            <w:tcW w:w="20" w:type="dxa"/>
            <w:vAlign w:val="bottom"/>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40" w:type="dxa"/>
            <w:vAlign w:val="bottom"/>
            <w:gridSpan w:val="3"/>
          </w:tcPr>
          <w:p>
            <w:pPr>
              <w:jc w:val="right"/>
              <w:ind w:right="40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20" w:type="dxa"/>
            <w:vAlign w:val="bottom"/>
          </w:tcPr>
          <w:p>
            <w:pPr>
              <w:ind w:left="1980"/>
              <w:spacing w:after="0"/>
              <w:rPr>
                <w:sz w:val="20"/>
                <w:szCs w:val="20"/>
                <w:color w:val="auto"/>
              </w:rPr>
            </w:pPr>
            <w:r>
              <w:rPr>
                <w:rFonts w:ascii="Arial" w:cs="Arial" w:eastAsia="Arial" w:hAnsi="Arial"/>
                <w:sz w:val="18"/>
                <w:szCs w:val="18"/>
                <w:color w:val="auto"/>
              </w:rPr>
              <w:t>Director</w:t>
            </w:r>
          </w:p>
        </w:tc>
      </w:tr>
      <w:tr>
        <w:trPr>
          <w:trHeight w:val="230"/>
        </w:trPr>
        <w:tc>
          <w:tcPr>
            <w:tcW w:w="20" w:type="dxa"/>
            <w:vAlign w:val="bottom"/>
          </w:tcPr>
          <w:p>
            <w:pPr>
              <w:spacing w:after="0"/>
              <w:rPr>
                <w:sz w:val="20"/>
                <w:szCs w:val="20"/>
                <w:color w:val="auto"/>
              </w:rPr>
            </w:pPr>
          </w:p>
        </w:tc>
        <w:tc>
          <w:tcPr>
            <w:tcW w:w="4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Theodore J. Hoepner</w:t>
            </w:r>
          </w:p>
        </w:tc>
        <w:tc>
          <w:tcPr>
            <w:tcW w:w="6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52"/>
        </w:trPr>
        <w:tc>
          <w:tcPr>
            <w:tcW w:w="4740" w:type="dxa"/>
            <w:vAlign w:val="bottom"/>
            <w:gridSpan w:val="3"/>
          </w:tcPr>
          <w:p>
            <w:pPr>
              <w:jc w:val="right"/>
              <w:ind w:right="40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620" w:type="dxa"/>
            <w:vAlign w:val="bottom"/>
          </w:tcPr>
          <w:p>
            <w:pPr>
              <w:ind w:left="1980"/>
              <w:spacing w:after="0"/>
              <w:rPr>
                <w:sz w:val="20"/>
                <w:szCs w:val="20"/>
                <w:color w:val="auto"/>
              </w:rPr>
            </w:pPr>
            <w:r>
              <w:rPr>
                <w:rFonts w:ascii="Arial" w:cs="Arial" w:eastAsia="Arial" w:hAnsi="Arial"/>
                <w:sz w:val="18"/>
                <w:szCs w:val="18"/>
                <w:color w:val="auto"/>
              </w:rPr>
              <w:t>Director</w:t>
            </w:r>
          </w:p>
        </w:tc>
      </w:tr>
      <w:tr>
        <w:trPr>
          <w:trHeight w:val="230"/>
        </w:trPr>
        <w:tc>
          <w:tcPr>
            <w:tcW w:w="20" w:type="dxa"/>
            <w:vAlign w:val="bottom"/>
          </w:tcPr>
          <w:p>
            <w:pPr>
              <w:spacing w:after="0"/>
              <w:rPr>
                <w:sz w:val="20"/>
                <w:szCs w:val="20"/>
                <w:color w:val="auto"/>
              </w:rPr>
            </w:pPr>
          </w:p>
        </w:tc>
        <w:tc>
          <w:tcPr>
            <w:tcW w:w="4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Toni Jennings</w:t>
            </w:r>
          </w:p>
        </w:tc>
        <w:tc>
          <w:tcPr>
            <w:tcW w:w="6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25"/>
        </w:trPr>
        <w:tc>
          <w:tcPr>
            <w:tcW w:w="4740" w:type="dxa"/>
            <w:vAlign w:val="bottom"/>
            <w:gridSpan w:val="3"/>
          </w:tcPr>
          <w:p>
            <w:pPr>
              <w:jc w:val="right"/>
              <w:ind w:right="40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620" w:type="dxa"/>
            <w:vAlign w:val="bottom"/>
          </w:tcPr>
          <w:p>
            <w:pPr>
              <w:ind w:left="1980"/>
              <w:spacing w:after="0"/>
              <w:rPr>
                <w:sz w:val="20"/>
                <w:szCs w:val="20"/>
                <w:color w:val="auto"/>
              </w:rPr>
            </w:pPr>
            <w:r>
              <w:rPr>
                <w:rFonts w:ascii="Arial" w:cs="Arial" w:eastAsia="Arial" w:hAnsi="Arial"/>
                <w:sz w:val="18"/>
                <w:szCs w:val="18"/>
                <w:color w:val="auto"/>
              </w:rPr>
              <w:t>Director</w:t>
            </w:r>
          </w:p>
        </w:tc>
      </w:tr>
      <w:tr>
        <w:trPr>
          <w:trHeight w:val="230"/>
        </w:trPr>
        <w:tc>
          <w:tcPr>
            <w:tcW w:w="20" w:type="dxa"/>
            <w:vAlign w:val="bottom"/>
          </w:tcPr>
          <w:p>
            <w:pPr>
              <w:spacing w:after="0"/>
              <w:rPr>
                <w:sz w:val="20"/>
                <w:szCs w:val="20"/>
                <w:color w:val="auto"/>
              </w:rPr>
            </w:pPr>
          </w:p>
        </w:tc>
        <w:tc>
          <w:tcPr>
            <w:tcW w:w="4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Wendell S. Reilly</w:t>
            </w:r>
          </w:p>
        </w:tc>
        <w:tc>
          <w:tcPr>
            <w:tcW w:w="6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25"/>
        </w:trPr>
        <w:tc>
          <w:tcPr>
            <w:tcW w:w="4740" w:type="dxa"/>
            <w:vAlign w:val="bottom"/>
            <w:gridSpan w:val="3"/>
          </w:tcPr>
          <w:p>
            <w:pPr>
              <w:jc w:val="right"/>
              <w:ind w:right="40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620" w:type="dxa"/>
            <w:vAlign w:val="bottom"/>
          </w:tcPr>
          <w:p>
            <w:pPr>
              <w:ind w:left="1980"/>
              <w:spacing w:after="0"/>
              <w:rPr>
                <w:sz w:val="20"/>
                <w:szCs w:val="20"/>
                <w:color w:val="auto"/>
              </w:rPr>
            </w:pPr>
            <w:r>
              <w:rPr>
                <w:rFonts w:ascii="Arial" w:cs="Arial" w:eastAsia="Arial" w:hAnsi="Arial"/>
                <w:sz w:val="18"/>
                <w:szCs w:val="18"/>
                <w:color w:val="auto"/>
              </w:rPr>
              <w:t>Director</w:t>
            </w:r>
          </w:p>
        </w:tc>
      </w:tr>
      <w:tr>
        <w:trPr>
          <w:trHeight w:val="230"/>
        </w:trPr>
        <w:tc>
          <w:tcPr>
            <w:tcW w:w="20" w:type="dxa"/>
            <w:vAlign w:val="bottom"/>
          </w:tcPr>
          <w:p>
            <w:pPr>
              <w:spacing w:after="0"/>
              <w:rPr>
                <w:sz w:val="20"/>
                <w:szCs w:val="20"/>
                <w:color w:val="auto"/>
              </w:rPr>
            </w:pPr>
          </w:p>
        </w:tc>
        <w:tc>
          <w:tcPr>
            <w:tcW w:w="4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John R. Riedman</w:t>
            </w:r>
          </w:p>
        </w:tc>
        <w:tc>
          <w:tcPr>
            <w:tcW w:w="6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25"/>
        </w:trPr>
        <w:tc>
          <w:tcPr>
            <w:tcW w:w="4740" w:type="dxa"/>
            <w:vAlign w:val="bottom"/>
            <w:gridSpan w:val="3"/>
          </w:tcPr>
          <w:p>
            <w:pPr>
              <w:jc w:val="right"/>
              <w:ind w:right="40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620" w:type="dxa"/>
            <w:vAlign w:val="bottom"/>
          </w:tcPr>
          <w:p>
            <w:pPr>
              <w:ind w:left="1980"/>
              <w:spacing w:after="0"/>
              <w:rPr>
                <w:sz w:val="20"/>
                <w:szCs w:val="20"/>
                <w:color w:val="auto"/>
              </w:rPr>
            </w:pPr>
            <w:r>
              <w:rPr>
                <w:rFonts w:ascii="Arial" w:cs="Arial" w:eastAsia="Arial" w:hAnsi="Arial"/>
                <w:sz w:val="18"/>
                <w:szCs w:val="18"/>
                <w:color w:val="auto"/>
              </w:rPr>
              <w:t>Director</w:t>
            </w:r>
          </w:p>
        </w:tc>
      </w:tr>
      <w:tr>
        <w:trPr>
          <w:trHeight w:val="230"/>
        </w:trPr>
        <w:tc>
          <w:tcPr>
            <w:tcW w:w="20" w:type="dxa"/>
            <w:vAlign w:val="bottom"/>
          </w:tcPr>
          <w:p>
            <w:pPr>
              <w:spacing w:after="0"/>
              <w:rPr>
                <w:sz w:val="20"/>
                <w:szCs w:val="20"/>
                <w:color w:val="auto"/>
              </w:rPr>
            </w:pPr>
          </w:p>
        </w:tc>
        <w:tc>
          <w:tcPr>
            <w:tcW w:w="4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Jan E. Smith</w:t>
            </w:r>
          </w:p>
        </w:tc>
        <w:tc>
          <w:tcPr>
            <w:tcW w:w="6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25"/>
        </w:trPr>
        <w:tc>
          <w:tcPr>
            <w:tcW w:w="4740" w:type="dxa"/>
            <w:vAlign w:val="bottom"/>
            <w:gridSpan w:val="3"/>
          </w:tcPr>
          <w:p>
            <w:pPr>
              <w:jc w:val="right"/>
              <w:ind w:right="40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620" w:type="dxa"/>
            <w:vAlign w:val="bottom"/>
          </w:tcPr>
          <w:p>
            <w:pPr>
              <w:ind w:left="1980"/>
              <w:spacing w:after="0"/>
              <w:rPr>
                <w:sz w:val="20"/>
                <w:szCs w:val="20"/>
                <w:color w:val="auto"/>
              </w:rPr>
            </w:pPr>
            <w:r>
              <w:rPr>
                <w:rFonts w:ascii="Arial" w:cs="Arial" w:eastAsia="Arial" w:hAnsi="Arial"/>
                <w:sz w:val="18"/>
                <w:szCs w:val="18"/>
                <w:color w:val="auto"/>
              </w:rPr>
              <w:t>Director</w:t>
            </w:r>
          </w:p>
        </w:tc>
      </w:tr>
      <w:tr>
        <w:trPr>
          <w:trHeight w:val="230"/>
        </w:trPr>
        <w:tc>
          <w:tcPr>
            <w:tcW w:w="20" w:type="dxa"/>
            <w:vAlign w:val="bottom"/>
          </w:tcPr>
          <w:p>
            <w:pPr>
              <w:spacing w:after="0"/>
              <w:rPr>
                <w:sz w:val="20"/>
                <w:szCs w:val="20"/>
                <w:color w:val="auto"/>
              </w:rPr>
            </w:pPr>
          </w:p>
        </w:tc>
        <w:tc>
          <w:tcPr>
            <w:tcW w:w="4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Chilton D. Varner</w:t>
            </w:r>
          </w:p>
        </w:tc>
        <w:tc>
          <w:tcPr>
            <w:tcW w:w="6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668"/>
        </w:trPr>
        <w:tc>
          <w:tcPr>
            <w:tcW w:w="4740" w:type="dxa"/>
            <w:vAlign w:val="bottom"/>
            <w:gridSpan w:val="3"/>
          </w:tcPr>
          <w:p>
            <w:pPr>
              <w:spacing w:after="0"/>
              <w:rPr>
                <w:sz w:val="20"/>
                <w:szCs w:val="20"/>
                <w:color w:val="auto"/>
              </w:rPr>
            </w:pPr>
            <w:r>
              <w:rPr>
                <w:rFonts w:ascii="Arial" w:cs="Arial" w:eastAsia="Arial" w:hAnsi="Arial"/>
                <w:sz w:val="18"/>
                <w:szCs w:val="18"/>
                <w:color w:val="auto"/>
              </w:rPr>
              <w:t>*By:  /S/ LAUREL L. GRAMMIG</w:t>
            </w: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202"/>
        </w:trPr>
        <w:tc>
          <w:tcPr>
            <w:tcW w:w="460" w:type="dxa"/>
            <w:vAlign w:val="bottom"/>
            <w:gridSpan w:val="2"/>
          </w:tcPr>
          <w:p>
            <w:pPr>
              <w:spacing w:after="0" w:line="201" w:lineRule="exact"/>
              <w:rPr>
                <w:sz w:val="20"/>
                <w:szCs w:val="20"/>
                <w:color w:val="auto"/>
              </w:rPr>
            </w:pPr>
            <w:r>
              <w:rPr>
                <w:rFonts w:ascii="Arial" w:cs="Arial" w:eastAsia="Arial" w:hAnsi="Arial"/>
                <w:sz w:val="18"/>
                <w:szCs w:val="18"/>
                <w:color w:val="auto"/>
                <w:w w:val="87"/>
              </w:rPr>
              <w:t>Laurel</w:t>
            </w:r>
          </w:p>
        </w:tc>
        <w:tc>
          <w:tcPr>
            <w:tcW w:w="4280" w:type="dxa"/>
            <w:vAlign w:val="bottom"/>
            <w:tcBorders>
              <w:top w:val="single" w:sz="8" w:color="auto"/>
            </w:tcBorders>
          </w:tcPr>
          <w:p>
            <w:pPr>
              <w:jc w:val="right"/>
              <w:ind w:right="3230"/>
              <w:spacing w:after="0" w:line="201" w:lineRule="exact"/>
              <w:rPr>
                <w:sz w:val="20"/>
                <w:szCs w:val="20"/>
                <w:color w:val="auto"/>
              </w:rPr>
            </w:pPr>
            <w:r>
              <w:rPr>
                <w:rFonts w:ascii="Arial" w:cs="Arial" w:eastAsia="Arial" w:hAnsi="Arial"/>
                <w:sz w:val="18"/>
                <w:szCs w:val="18"/>
                <w:color w:val="auto"/>
                <w:w w:val="99"/>
              </w:rPr>
              <w:t>L. Grammig</w:t>
            </w:r>
          </w:p>
        </w:tc>
        <w:tc>
          <w:tcPr>
            <w:tcW w:w="60" w:type="dxa"/>
            <w:vAlign w:val="bottom"/>
            <w:tcBorders>
              <w:top w:val="single" w:sz="8" w:color="auto"/>
            </w:tcBorders>
          </w:tcPr>
          <w:p>
            <w:pPr>
              <w:spacing w:after="0"/>
              <w:rPr>
                <w:sz w:val="17"/>
                <w:szCs w:val="17"/>
                <w:color w:val="auto"/>
              </w:rPr>
            </w:pPr>
          </w:p>
        </w:tc>
        <w:tc>
          <w:tcPr>
            <w:tcW w:w="6620" w:type="dxa"/>
            <w:vAlign w:val="bottom"/>
          </w:tcPr>
          <w:p>
            <w:pPr>
              <w:spacing w:after="0"/>
              <w:rPr>
                <w:sz w:val="17"/>
                <w:szCs w:val="17"/>
                <w:color w:val="auto"/>
              </w:rPr>
            </w:pPr>
          </w:p>
        </w:tc>
      </w:t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rPr>
              <w:t>Attorney-In-Fact</w:t>
            </w:r>
          </w:p>
        </w:tc>
        <w:tc>
          <w:tcPr>
            <w:tcW w:w="6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ind w:left="780"/>
              <w:spacing w:after="0"/>
              <w:rPr>
                <w:sz w:val="20"/>
                <w:szCs w:val="20"/>
                <w:color w:val="auto"/>
              </w:rPr>
            </w:pPr>
            <w:r>
              <w:rPr>
                <w:rFonts w:ascii="Arial" w:cs="Arial" w:eastAsia="Arial" w:hAnsi="Arial"/>
                <w:sz w:val="18"/>
                <w:szCs w:val="18"/>
                <w:color w:val="auto"/>
              </w:rPr>
              <w:t>II-6</w:t>
            </w:r>
          </w:p>
        </w:tc>
      </w:tr>
      <w:tr>
        <w:trPr>
          <w:trHeight w:val="108"/>
        </w:trPr>
        <w:tc>
          <w:tcPr>
            <w:tcW w:w="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2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62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8"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6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880" w:type="dxa"/>
            <w:vAlign w:val="bottom"/>
          </w:tcPr>
          <w:p>
            <w:pPr>
              <w:ind w:left="160"/>
              <w:spacing w:after="0"/>
              <w:rPr>
                <w:sz w:val="20"/>
                <w:szCs w:val="20"/>
                <w:color w:val="auto"/>
              </w:rPr>
            </w:pPr>
            <w:r>
              <w:rPr>
                <w:rFonts w:ascii="Arial" w:cs="Arial" w:eastAsia="Arial" w:hAnsi="Arial"/>
                <w:sz w:val="18"/>
                <w:szCs w:val="18"/>
                <w:b w:val="1"/>
                <w:bCs w:val="1"/>
                <w:color w:val="auto"/>
              </w:rPr>
              <w:t>Exhibit</w:t>
            </w:r>
          </w:p>
        </w:tc>
        <w:tc>
          <w:tcPr>
            <w:tcW w:w="38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241"/>
        </w:trPr>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Number</w:t>
            </w:r>
          </w:p>
        </w:tc>
        <w:tc>
          <w:tcPr>
            <w:tcW w:w="380" w:type="dxa"/>
            <w:vAlign w:val="bottom"/>
          </w:tcPr>
          <w:p>
            <w:pPr>
              <w:spacing w:after="0"/>
              <w:rPr>
                <w:sz w:val="20"/>
                <w:szCs w:val="20"/>
                <w:color w:val="auto"/>
              </w:rPr>
            </w:pPr>
          </w:p>
        </w:tc>
        <w:tc>
          <w:tcPr>
            <w:tcW w:w="1016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of Underwriting Agreement.*</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3"/>
              </w:rPr>
              <w:t>Articles of Amendment to Articles of Incorporation (adopted April 24, 2003) (incorporated by reference to Exhibit 3a to Form 10-Q for the</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quarter ended March 31, 2003), and Amended and Restated Articles of Incorporation (incorporated by reference to Exhibit 3a to Form 10-Q</w:t>
            </w:r>
          </w:p>
        </w:tc>
      </w:tr>
      <w:tr>
        <w:trPr>
          <w:trHeight w:val="230"/>
        </w:trPr>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 the quarter ended March 31, 1999).</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Bylaws (incorporated by reference to Exhibit 3b to Form 10-K for the year ended December 31, 2002).</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of Certificate for Shares of Brown &amp; Brown’s Common Stock.</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of Indenture.</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of Debt Security.*</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of Warrant.*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of Warrant Agreement.*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of Unit.*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Opinion of Holland &amp; Knight LLP.</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12.1</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Consent of Deloitte &amp; Touche LLP, independent certified public accountants.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23.2</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Consent of Holland &amp; Knight LLP (included in opinion filed as Exhibit 5.1).</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24.1</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Power of Attorney of certain directors and officers of Brown &amp; Brown.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25.1</w:t>
            </w:r>
          </w:p>
        </w:tc>
        <w:tc>
          <w:tcPr>
            <w:tcW w:w="3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T-1 Statement of Eligibility of Trustee under the Trust Indenture Act of 1939.*</w:t>
            </w:r>
          </w:p>
        </w:tc>
      </w:tr>
    </w:tbl>
    <w:p>
      <w:pPr>
        <w:spacing w:after="0" w:line="229" w:lineRule="exact"/>
        <w:rPr>
          <w:sz w:val="20"/>
          <w:szCs w:val="20"/>
          <w:color w:val="auto"/>
        </w:rPr>
      </w:pPr>
    </w:p>
    <w:p>
      <w:pPr>
        <w:ind w:left="5580" w:right="1880" w:hanging="5572"/>
        <w:spacing w:after="0" w:line="559" w:lineRule="auto"/>
        <w:tabs>
          <w:tab w:leader="none" w:pos="50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be filed with a Current Report on Form 8-K or a Pre-Effective or Post-Effective Amendment to this registration statement. II-7</w:t>
      </w:r>
    </w:p>
    <w:p>
      <w:pPr>
        <w:sectPr>
          <w:pgSz w:w="11900" w:h="16838" w:orient="portrait"/>
          <w:cols w:equalWidth="0" w:num="1">
            <w:col w:w="11420"/>
          </w:cols>
          <w:pgMar w:left="240" w:top="364" w:right="239" w:bottom="1440" w:gutter="0" w:footer="0" w:header="0"/>
        </w:sectPr>
      </w:pPr>
    </w:p>
    <w:bookmarkStart w:id="19" w:name="page20"/>
    <w:bookmarkEnd w:id="19"/>
    <w:p>
      <w:pPr>
        <w:ind w:left="93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5631815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186690</wp:posOffset>
            </wp:positionV>
            <wp:extent cx="6182995" cy="47593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82995" cy="4759325"/>
                    </a:xfrm>
                    <a:prstGeom prst="rect">
                      <a:avLst/>
                    </a:prstGeom>
                    <a:noFill/>
                  </pic:spPr>
                </pic:pic>
              </a:graphicData>
            </a:graphic>
          </wp:anchor>
        </w:drawing>
      </w:r>
    </w:p>
    <w:p>
      <w:pPr>
        <w:sectPr>
          <w:pgSz w:w="11900" w:h="16838" w:orient="portrait"/>
          <w:cols w:equalWidth="0" w:num="1">
            <w:col w:w="10220"/>
          </w:cols>
          <w:pgMar w:left="1440" w:top="256" w:right="239" w:bottom="1440"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6234430" cy="80867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234430" cy="8086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4.4</w:t>
      </w:r>
    </w:p>
    <w:p>
      <w:pPr>
        <w:spacing w:after="0" w:line="25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BROWN &amp; BROWN, INC.</w:t>
      </w:r>
    </w:p>
    <w:p>
      <w:pPr>
        <w:spacing w:after="0" w:line="26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25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Dated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235585</wp:posOffset>
            </wp:positionV>
            <wp:extent cx="147066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DEBT SECURITIES</w:t>
      </w:r>
    </w:p>
    <w:p>
      <w:pPr>
        <w:spacing w:after="0" w:line="252" w:lineRule="exact"/>
        <w:rPr>
          <w:sz w:val="20"/>
          <w:szCs w:val="20"/>
          <w:color w:val="auto"/>
        </w:rPr>
      </w:pPr>
    </w:p>
    <w:p>
      <w:pPr>
        <w:ind w:left="4980" w:hanging="998"/>
        <w:spacing w:after="0"/>
        <w:tabs>
          <w:tab w:leader="none" w:pos="4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4240"/>
        <w:spacing w:after="0"/>
        <w:rPr>
          <w:rFonts w:ascii="Arial" w:cs="Arial" w:eastAsia="Arial" w:hAnsi="Arial"/>
          <w:sz w:val="18"/>
          <w:szCs w:val="18"/>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256"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80" w:type="dxa"/>
            <w:vAlign w:val="bottom"/>
            <w:gridSpan w:val="8"/>
          </w:tcPr>
          <w:p>
            <w:pPr>
              <w:ind w:left="20"/>
              <w:spacing w:after="0"/>
              <w:rPr>
                <w:sz w:val="20"/>
                <w:szCs w:val="20"/>
                <w:color w:val="auto"/>
              </w:rPr>
            </w:pPr>
            <w:r>
              <w:rPr>
                <w:rFonts w:ascii="Arial" w:cs="Arial" w:eastAsia="Arial" w:hAnsi="Arial"/>
                <w:sz w:val="18"/>
                <w:szCs w:val="18"/>
                <w:b w:val="1"/>
                <w:bCs w:val="1"/>
                <w:color w:val="auto"/>
              </w:rPr>
              <w:t>TABLE OF CONTENTS</w:t>
            </w:r>
          </w:p>
        </w:tc>
        <w:tc>
          <w:tcPr>
            <w:tcW w:w="2080" w:type="dxa"/>
            <w:vAlign w:val="bottom"/>
          </w:tcPr>
          <w:p>
            <w:pPr>
              <w:spacing w:after="0"/>
              <w:rPr>
                <w:sz w:val="20"/>
                <w:szCs w:val="20"/>
                <w:color w:val="auto"/>
              </w:rPr>
            </w:pPr>
          </w:p>
        </w:tc>
      </w:tr>
      <w:tr>
        <w:trPr>
          <w:trHeight w:val="392"/>
        </w:trPr>
        <w:tc>
          <w:tcPr>
            <w:tcW w:w="218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ARTICLE I DEFINITIONS</w:t>
              </w:r>
            </w:hyperlink>
          </w:p>
        </w:tc>
        <w:tc>
          <w:tcPr>
            <w:tcW w:w="7040" w:type="dxa"/>
            <w:vAlign w:val="bottom"/>
            <w:gridSpan w:val="32"/>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340" w:type="dxa"/>
            <w:vAlign w:val="bottom"/>
          </w:tcPr>
          <w:p>
            <w:pPr>
              <w:spacing w:after="0"/>
              <w:rPr>
                <w:sz w:val="24"/>
                <w:szCs w:val="24"/>
                <w:color w:val="auto"/>
              </w:rPr>
            </w:pPr>
          </w:p>
        </w:tc>
        <w:tc>
          <w:tcPr>
            <w:tcW w:w="880" w:type="dxa"/>
            <w:vAlign w:val="bottom"/>
            <w:tcBorders>
              <w:bottom w:val="single" w:sz="8" w:color="0000EE"/>
            </w:tcBorders>
          </w:tcPr>
          <w:p>
            <w:pPr>
              <w:spacing w:after="0"/>
              <w:rPr>
                <w:rFonts w:ascii="Arial" w:cs="Arial" w:eastAsia="Arial" w:hAnsi="Arial"/>
                <w:sz w:val="18"/>
                <w:szCs w:val="18"/>
                <w:color w:val="0000EE"/>
                <w:w w:val="83"/>
              </w:rPr>
            </w:pPr>
            <w:hyperlink w:anchor="page27">
              <w:r>
                <w:rPr>
                  <w:rFonts w:ascii="Arial" w:cs="Arial" w:eastAsia="Arial" w:hAnsi="Arial"/>
                  <w:sz w:val="18"/>
                  <w:szCs w:val="18"/>
                  <w:color w:val="0000EE"/>
                  <w:w w:val="83"/>
                </w:rPr>
                <w:t>Section 1.01</w:t>
              </w:r>
            </w:hyperlink>
          </w:p>
        </w:tc>
        <w:tc>
          <w:tcPr>
            <w:tcW w:w="660" w:type="dxa"/>
            <w:vAlign w:val="bottom"/>
          </w:tcPr>
          <w:p>
            <w:pPr>
              <w:spacing w:after="0"/>
              <w:rPr>
                <w:sz w:val="24"/>
                <w:szCs w:val="24"/>
                <w:color w:val="auto"/>
              </w:rPr>
            </w:pPr>
          </w:p>
        </w:tc>
        <w:tc>
          <w:tcPr>
            <w:tcW w:w="82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27">
              <w:r>
                <w:rPr>
                  <w:rFonts w:ascii="Arial" w:cs="Arial" w:eastAsia="Arial" w:hAnsi="Arial"/>
                  <w:sz w:val="18"/>
                  <w:szCs w:val="18"/>
                  <w:color w:val="0000EE"/>
                  <w:w w:val="95"/>
                </w:rPr>
                <w:t>Definitions</w:t>
              </w:r>
            </w:hyperlink>
          </w:p>
        </w:tc>
        <w:tc>
          <w:tcPr>
            <w:tcW w:w="6520" w:type="dxa"/>
            <w:vAlign w:val="bottom"/>
            <w:gridSpan w:val="28"/>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314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ARTICLE II FORMS OF SECURITIES</w:t>
              </w:r>
            </w:hyperlink>
          </w:p>
        </w:tc>
        <w:tc>
          <w:tcPr>
            <w:tcW w:w="6080" w:type="dxa"/>
            <w:vAlign w:val="bottom"/>
            <w:gridSpan w:val="23"/>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2"/>
        </w:trPr>
        <w:tc>
          <w:tcPr>
            <w:tcW w:w="340" w:type="dxa"/>
            <w:vAlign w:val="bottom"/>
          </w:tcPr>
          <w:p>
            <w:pPr>
              <w:spacing w:after="0"/>
              <w:rPr>
                <w:sz w:val="24"/>
                <w:szCs w:val="24"/>
                <w:color w:val="auto"/>
              </w:rPr>
            </w:pPr>
          </w:p>
        </w:tc>
        <w:tc>
          <w:tcPr>
            <w:tcW w:w="880" w:type="dxa"/>
            <w:vAlign w:val="bottom"/>
            <w:tcBorders>
              <w:bottom w:val="single" w:sz="8" w:color="0000EE"/>
            </w:tcBorders>
          </w:tcPr>
          <w:p>
            <w:pPr>
              <w:spacing w:after="0"/>
              <w:rPr>
                <w:rFonts w:ascii="Arial" w:cs="Arial" w:eastAsia="Arial" w:hAnsi="Arial"/>
                <w:sz w:val="18"/>
                <w:szCs w:val="18"/>
                <w:color w:val="0000EE"/>
                <w:w w:val="83"/>
              </w:rPr>
            </w:pPr>
            <w:hyperlink w:anchor="page35">
              <w:r>
                <w:rPr>
                  <w:rFonts w:ascii="Arial" w:cs="Arial" w:eastAsia="Arial" w:hAnsi="Arial"/>
                  <w:sz w:val="18"/>
                  <w:szCs w:val="18"/>
                  <w:color w:val="0000EE"/>
                  <w:w w:val="83"/>
                </w:rPr>
                <w:t>Section 2.01</w:t>
              </w:r>
            </w:hyperlink>
          </w:p>
        </w:tc>
        <w:tc>
          <w:tcPr>
            <w:tcW w:w="660" w:type="dxa"/>
            <w:vAlign w:val="bottom"/>
          </w:tcPr>
          <w:p>
            <w:pPr>
              <w:spacing w:after="0"/>
              <w:rPr>
                <w:sz w:val="24"/>
                <w:szCs w:val="24"/>
                <w:color w:val="auto"/>
              </w:rPr>
            </w:pPr>
          </w:p>
        </w:tc>
        <w:tc>
          <w:tcPr>
            <w:tcW w:w="16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Terms of the Securities</w:t>
              </w:r>
            </w:hyperlink>
          </w:p>
        </w:tc>
        <w:tc>
          <w:tcPr>
            <w:tcW w:w="5660" w:type="dxa"/>
            <w:vAlign w:val="bottom"/>
            <w:gridSpan w:val="18"/>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2"/>
        </w:trPr>
        <w:tc>
          <w:tcPr>
            <w:tcW w:w="34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EE"/>
                <w:w w:val="83"/>
              </w:rPr>
            </w:pPr>
            <w:hyperlink w:anchor="page35">
              <w:r>
                <w:rPr>
                  <w:rFonts w:ascii="Arial" w:cs="Arial" w:eastAsia="Arial" w:hAnsi="Arial"/>
                  <w:sz w:val="18"/>
                  <w:szCs w:val="18"/>
                  <w:color w:val="0000EE"/>
                  <w:w w:val="83"/>
                </w:rPr>
                <w:t>Section 2.02</w:t>
              </w:r>
            </w:hyperlink>
          </w:p>
        </w:tc>
        <w:tc>
          <w:tcPr>
            <w:tcW w:w="660" w:type="dxa"/>
            <w:vAlign w:val="bottom"/>
          </w:tcPr>
          <w:p>
            <w:pPr>
              <w:spacing w:after="0"/>
              <w:rPr>
                <w:sz w:val="24"/>
                <w:szCs w:val="24"/>
                <w:color w:val="auto"/>
              </w:rPr>
            </w:pPr>
          </w:p>
        </w:tc>
        <w:tc>
          <w:tcPr>
            <w:tcW w:w="7340" w:type="dxa"/>
            <w:vAlign w:val="bottom"/>
            <w:gridSpan w:val="3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Form of Trustee’s Certificate of Authentication</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3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EE"/>
                <w:w w:val="83"/>
              </w:rPr>
            </w:pPr>
            <w:hyperlink w:anchor="page35">
              <w:r>
                <w:rPr>
                  <w:rFonts w:ascii="Arial" w:cs="Arial" w:eastAsia="Arial" w:hAnsi="Arial"/>
                  <w:sz w:val="18"/>
                  <w:szCs w:val="18"/>
                  <w:color w:val="0000EE"/>
                  <w:w w:val="83"/>
                </w:rPr>
                <w:t>Section 2.03</w:t>
              </w:r>
            </w:hyperlink>
          </w:p>
        </w:tc>
        <w:tc>
          <w:tcPr>
            <w:tcW w:w="660" w:type="dxa"/>
            <w:vAlign w:val="bottom"/>
          </w:tcPr>
          <w:p>
            <w:pPr>
              <w:spacing w:after="0"/>
              <w:rPr>
                <w:sz w:val="24"/>
                <w:szCs w:val="24"/>
                <w:color w:val="auto"/>
              </w:rPr>
            </w:pPr>
          </w:p>
        </w:tc>
        <w:tc>
          <w:tcPr>
            <w:tcW w:w="7340" w:type="dxa"/>
            <w:vAlign w:val="bottom"/>
            <w:gridSpan w:val="3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Form of Trustee’s Certificate of Authentication by an Authenticating Agent</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220" w:type="dxa"/>
            <w:vAlign w:val="bottom"/>
            <w:gridSpan w:val="2"/>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12"/>
        </w:trPr>
        <w:tc>
          <w:tcPr>
            <w:tcW w:w="3180" w:type="dxa"/>
            <w:vAlign w:val="bottom"/>
            <w:tcBorders>
              <w:bottom w:val="single" w:sz="8" w:color="0000EE"/>
            </w:tcBorders>
            <w:gridSpan w:val="14"/>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ARTICLE III THE DEBT SECURITIES</w:t>
              </w:r>
            </w:hyperlink>
          </w:p>
        </w:tc>
        <w:tc>
          <w:tcPr>
            <w:tcW w:w="6040" w:type="dxa"/>
            <w:vAlign w:val="bottom"/>
            <w:gridSpan w:val="22"/>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2"/>
        </w:trPr>
        <w:tc>
          <w:tcPr>
            <w:tcW w:w="340" w:type="dxa"/>
            <w:vAlign w:val="bottom"/>
          </w:tcPr>
          <w:p>
            <w:pPr>
              <w:spacing w:after="0"/>
              <w:rPr>
                <w:sz w:val="24"/>
                <w:szCs w:val="24"/>
                <w:color w:val="auto"/>
              </w:rPr>
            </w:pPr>
          </w:p>
        </w:tc>
        <w:tc>
          <w:tcPr>
            <w:tcW w:w="880" w:type="dxa"/>
            <w:vAlign w:val="bottom"/>
            <w:tcBorders>
              <w:bottom w:val="single" w:sz="8" w:color="0000EE"/>
            </w:tcBorders>
          </w:tcPr>
          <w:p>
            <w:pPr>
              <w:spacing w:after="0"/>
              <w:rPr>
                <w:rFonts w:ascii="Arial" w:cs="Arial" w:eastAsia="Arial" w:hAnsi="Arial"/>
                <w:sz w:val="18"/>
                <w:szCs w:val="18"/>
                <w:color w:val="0000EE"/>
                <w:w w:val="83"/>
              </w:rPr>
            </w:pPr>
            <w:hyperlink w:anchor="page36">
              <w:r>
                <w:rPr>
                  <w:rFonts w:ascii="Arial" w:cs="Arial" w:eastAsia="Arial" w:hAnsi="Arial"/>
                  <w:sz w:val="18"/>
                  <w:szCs w:val="18"/>
                  <w:color w:val="0000EE"/>
                  <w:w w:val="83"/>
                </w:rPr>
                <w:t>Section 3.01</w:t>
              </w:r>
            </w:hyperlink>
          </w:p>
        </w:tc>
        <w:tc>
          <w:tcPr>
            <w:tcW w:w="660" w:type="dxa"/>
            <w:vAlign w:val="bottom"/>
          </w:tcPr>
          <w:p>
            <w:pPr>
              <w:spacing w:after="0"/>
              <w:rPr>
                <w:sz w:val="24"/>
                <w:szCs w:val="24"/>
                <w:color w:val="auto"/>
              </w:rPr>
            </w:pPr>
          </w:p>
        </w:tc>
        <w:tc>
          <w:tcPr>
            <w:tcW w:w="2740" w:type="dxa"/>
            <w:vAlign w:val="bottom"/>
            <w:tcBorders>
              <w:bottom w:val="single" w:sz="8" w:color="0000EE"/>
            </w:tcBorders>
            <w:gridSpan w:val="23"/>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Amount Unlimited; Issuable in Series</w:t>
              </w:r>
            </w:hyperlink>
          </w:p>
        </w:tc>
        <w:tc>
          <w:tcPr>
            <w:tcW w:w="4600" w:type="dxa"/>
            <w:vAlign w:val="bottom"/>
            <w:gridSpan w:val="10"/>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2"/>
        </w:trPr>
        <w:tc>
          <w:tcPr>
            <w:tcW w:w="34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EE"/>
                <w:w w:val="83"/>
              </w:rPr>
            </w:pPr>
            <w:hyperlink w:anchor="page38">
              <w:r>
                <w:rPr>
                  <w:rFonts w:ascii="Arial" w:cs="Arial" w:eastAsia="Arial" w:hAnsi="Arial"/>
                  <w:sz w:val="18"/>
                  <w:szCs w:val="18"/>
                  <w:color w:val="0000EE"/>
                  <w:w w:val="83"/>
                </w:rPr>
                <w:t>Section 3.02</w:t>
              </w:r>
            </w:hyperlink>
          </w:p>
        </w:tc>
        <w:tc>
          <w:tcPr>
            <w:tcW w:w="660" w:type="dxa"/>
            <w:vAlign w:val="bottom"/>
          </w:tcPr>
          <w:p>
            <w:pPr>
              <w:spacing w:after="0"/>
              <w:rPr>
                <w:sz w:val="24"/>
                <w:szCs w:val="24"/>
                <w:color w:val="auto"/>
              </w:rPr>
            </w:pPr>
          </w:p>
        </w:tc>
        <w:tc>
          <w:tcPr>
            <w:tcW w:w="7340" w:type="dxa"/>
            <w:vAlign w:val="bottom"/>
            <w:gridSpan w:val="3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Denominations</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3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880" w:type="dxa"/>
            <w:vAlign w:val="bottom"/>
            <w:tcBorders>
              <w:bottom w:val="single" w:sz="8" w:color="0000EE"/>
            </w:tcBorders>
          </w:tcPr>
          <w:p>
            <w:pPr>
              <w:spacing w:after="0"/>
              <w:rPr>
                <w:rFonts w:ascii="Arial" w:cs="Arial" w:eastAsia="Arial" w:hAnsi="Arial"/>
                <w:sz w:val="18"/>
                <w:szCs w:val="18"/>
                <w:color w:val="0000EE"/>
                <w:w w:val="83"/>
              </w:rPr>
            </w:pPr>
            <w:hyperlink w:anchor="page38">
              <w:r>
                <w:rPr>
                  <w:rFonts w:ascii="Arial" w:cs="Arial" w:eastAsia="Arial" w:hAnsi="Arial"/>
                  <w:sz w:val="18"/>
                  <w:szCs w:val="18"/>
                  <w:color w:val="0000EE"/>
                  <w:w w:val="83"/>
                </w:rPr>
                <w:t>Section 3.03</w:t>
              </w:r>
            </w:hyperlink>
          </w:p>
        </w:tc>
        <w:tc>
          <w:tcPr>
            <w:tcW w:w="660" w:type="dxa"/>
            <w:vAlign w:val="bottom"/>
          </w:tcPr>
          <w:p>
            <w:pPr>
              <w:spacing w:after="0"/>
              <w:rPr>
                <w:sz w:val="24"/>
                <w:szCs w:val="24"/>
                <w:color w:val="auto"/>
              </w:rPr>
            </w:pPr>
          </w:p>
        </w:tc>
        <w:tc>
          <w:tcPr>
            <w:tcW w:w="3460" w:type="dxa"/>
            <w:vAlign w:val="bottom"/>
            <w:tcBorders>
              <w:bottom w:val="single" w:sz="8" w:color="0000EE"/>
            </w:tcBorders>
            <w:gridSpan w:val="29"/>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Execution, Authentication, Delivery and Dating</w:t>
              </w:r>
            </w:hyperlink>
          </w:p>
        </w:tc>
        <w:tc>
          <w:tcPr>
            <w:tcW w:w="3880" w:type="dxa"/>
            <w:vAlign w:val="bottom"/>
            <w:gridSpan w:val="4"/>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2"/>
        </w:trPr>
        <w:tc>
          <w:tcPr>
            <w:tcW w:w="34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EE"/>
                <w:w w:val="83"/>
              </w:rPr>
            </w:pPr>
            <w:hyperlink w:anchor="page39">
              <w:r>
                <w:rPr>
                  <w:rFonts w:ascii="Arial" w:cs="Arial" w:eastAsia="Arial" w:hAnsi="Arial"/>
                  <w:sz w:val="18"/>
                  <w:szCs w:val="18"/>
                  <w:color w:val="0000EE"/>
                  <w:w w:val="83"/>
                </w:rPr>
                <w:t>Section 3.04</w:t>
              </w:r>
            </w:hyperlink>
          </w:p>
        </w:tc>
        <w:tc>
          <w:tcPr>
            <w:tcW w:w="660" w:type="dxa"/>
            <w:vAlign w:val="bottom"/>
          </w:tcPr>
          <w:p>
            <w:pPr>
              <w:spacing w:after="0"/>
              <w:rPr>
                <w:sz w:val="24"/>
                <w:szCs w:val="24"/>
                <w:color w:val="auto"/>
              </w:rPr>
            </w:pPr>
          </w:p>
        </w:tc>
        <w:tc>
          <w:tcPr>
            <w:tcW w:w="7340" w:type="dxa"/>
            <w:vAlign w:val="bottom"/>
            <w:gridSpan w:val="3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Temporary Securities</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2"/>
        </w:trPr>
        <w:tc>
          <w:tcPr>
            <w:tcW w:w="340" w:type="dxa"/>
            <w:vAlign w:val="bottom"/>
          </w:tcPr>
          <w:p>
            <w:pPr>
              <w:spacing w:after="0"/>
              <w:rPr>
                <w:sz w:val="24"/>
                <w:szCs w:val="24"/>
                <w:color w:val="auto"/>
              </w:rPr>
            </w:pPr>
          </w:p>
        </w:tc>
        <w:tc>
          <w:tcPr>
            <w:tcW w:w="880" w:type="dxa"/>
            <w:vAlign w:val="bottom"/>
            <w:tcBorders>
              <w:top w:val="single" w:sz="8" w:color="0000EE"/>
            </w:tcBorders>
          </w:tcPr>
          <w:p>
            <w:pPr>
              <w:spacing w:after="0"/>
              <w:rPr>
                <w:rFonts w:ascii="Arial" w:cs="Arial" w:eastAsia="Arial" w:hAnsi="Arial"/>
                <w:sz w:val="18"/>
                <w:szCs w:val="18"/>
                <w:color w:val="0000EE"/>
                <w:w w:val="83"/>
              </w:rPr>
            </w:pPr>
            <w:hyperlink w:anchor="page40">
              <w:r>
                <w:rPr>
                  <w:rFonts w:ascii="Arial" w:cs="Arial" w:eastAsia="Arial" w:hAnsi="Arial"/>
                  <w:sz w:val="18"/>
                  <w:szCs w:val="18"/>
                  <w:color w:val="0000EE"/>
                  <w:w w:val="83"/>
                </w:rPr>
                <w:t>Section 3.05</w:t>
              </w:r>
            </w:hyperlink>
          </w:p>
        </w:tc>
        <w:tc>
          <w:tcPr>
            <w:tcW w:w="660" w:type="dxa"/>
            <w:vAlign w:val="bottom"/>
          </w:tcPr>
          <w:p>
            <w:pPr>
              <w:spacing w:after="0"/>
              <w:rPr>
                <w:sz w:val="24"/>
                <w:szCs w:val="24"/>
                <w:color w:val="auto"/>
              </w:rPr>
            </w:pPr>
          </w:p>
        </w:tc>
        <w:tc>
          <w:tcPr>
            <w:tcW w:w="1540" w:type="dxa"/>
            <w:vAlign w:val="bottom"/>
            <w:tcBorders>
              <w:top w:val="single" w:sz="8" w:color="0000EE"/>
            </w:tcBorders>
            <w:gridSpan w:val="1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Registrar</w:t>
              </w:r>
            </w:hyperlink>
          </w:p>
        </w:tc>
        <w:tc>
          <w:tcPr>
            <w:tcW w:w="5800" w:type="dxa"/>
            <w:vAlign w:val="bottom"/>
            <w:gridSpan w:val="21"/>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3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880" w:type="dxa"/>
            <w:vAlign w:val="bottom"/>
            <w:tcBorders>
              <w:bottom w:val="single" w:sz="8" w:color="0000EE"/>
            </w:tcBorders>
          </w:tcPr>
          <w:p>
            <w:pPr>
              <w:spacing w:after="0"/>
              <w:rPr>
                <w:rFonts w:ascii="Arial" w:cs="Arial" w:eastAsia="Arial" w:hAnsi="Arial"/>
                <w:sz w:val="18"/>
                <w:szCs w:val="18"/>
                <w:color w:val="0000EE"/>
                <w:w w:val="83"/>
              </w:rPr>
            </w:pPr>
            <w:hyperlink w:anchor="page40">
              <w:r>
                <w:rPr>
                  <w:rFonts w:ascii="Arial" w:cs="Arial" w:eastAsia="Arial" w:hAnsi="Arial"/>
                  <w:sz w:val="18"/>
                  <w:szCs w:val="18"/>
                  <w:color w:val="0000EE"/>
                  <w:w w:val="83"/>
                </w:rPr>
                <w:t>Section 3.06</w:t>
              </w:r>
            </w:hyperlink>
          </w:p>
        </w:tc>
        <w:tc>
          <w:tcPr>
            <w:tcW w:w="660" w:type="dxa"/>
            <w:vAlign w:val="bottom"/>
          </w:tcPr>
          <w:p>
            <w:pPr>
              <w:spacing w:after="0"/>
              <w:rPr>
                <w:sz w:val="24"/>
                <w:szCs w:val="24"/>
                <w:color w:val="auto"/>
              </w:rPr>
            </w:pPr>
          </w:p>
        </w:tc>
        <w:tc>
          <w:tcPr>
            <w:tcW w:w="168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Transfer and Exchange</w:t>
              </w:r>
            </w:hyperlink>
          </w:p>
        </w:tc>
        <w:tc>
          <w:tcPr>
            <w:tcW w:w="5660" w:type="dxa"/>
            <w:vAlign w:val="bottom"/>
            <w:gridSpan w:val="18"/>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34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EE"/>
                <w:w w:val="83"/>
              </w:rPr>
            </w:pPr>
            <w:hyperlink w:anchor="page43">
              <w:r>
                <w:rPr>
                  <w:rFonts w:ascii="Arial" w:cs="Arial" w:eastAsia="Arial" w:hAnsi="Arial"/>
                  <w:sz w:val="18"/>
                  <w:szCs w:val="18"/>
                  <w:color w:val="0000EE"/>
                  <w:w w:val="83"/>
                </w:rPr>
                <w:t>Section 3.07</w:t>
              </w:r>
            </w:hyperlink>
          </w:p>
        </w:tc>
        <w:tc>
          <w:tcPr>
            <w:tcW w:w="660" w:type="dxa"/>
            <w:vAlign w:val="bottom"/>
          </w:tcPr>
          <w:p>
            <w:pPr>
              <w:spacing w:after="0"/>
              <w:rPr>
                <w:sz w:val="24"/>
                <w:szCs w:val="24"/>
                <w:color w:val="auto"/>
              </w:rPr>
            </w:pPr>
          </w:p>
        </w:tc>
        <w:tc>
          <w:tcPr>
            <w:tcW w:w="7340" w:type="dxa"/>
            <w:vAlign w:val="bottom"/>
            <w:gridSpan w:val="3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Mutilated, Destroyed, Lost and Stolen Securities</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2"/>
        </w:trPr>
        <w:tc>
          <w:tcPr>
            <w:tcW w:w="340" w:type="dxa"/>
            <w:vAlign w:val="bottom"/>
          </w:tcPr>
          <w:p>
            <w:pPr>
              <w:spacing w:after="0"/>
              <w:rPr>
                <w:sz w:val="24"/>
                <w:szCs w:val="24"/>
                <w:color w:val="auto"/>
              </w:rPr>
            </w:pPr>
          </w:p>
        </w:tc>
        <w:tc>
          <w:tcPr>
            <w:tcW w:w="880" w:type="dxa"/>
            <w:vAlign w:val="bottom"/>
            <w:tcBorders>
              <w:top w:val="single" w:sz="8" w:color="0000EE"/>
              <w:bottom w:val="single" w:sz="8" w:color="0000EE"/>
            </w:tcBorders>
          </w:tcPr>
          <w:p>
            <w:pPr>
              <w:spacing w:after="0"/>
              <w:rPr>
                <w:rFonts w:ascii="Arial" w:cs="Arial" w:eastAsia="Arial" w:hAnsi="Arial"/>
                <w:sz w:val="18"/>
                <w:szCs w:val="18"/>
                <w:color w:val="0000EE"/>
                <w:w w:val="83"/>
              </w:rPr>
            </w:pPr>
            <w:hyperlink w:anchor="page43">
              <w:r>
                <w:rPr>
                  <w:rFonts w:ascii="Arial" w:cs="Arial" w:eastAsia="Arial" w:hAnsi="Arial"/>
                  <w:sz w:val="18"/>
                  <w:szCs w:val="18"/>
                  <w:color w:val="0000EE"/>
                  <w:w w:val="83"/>
                </w:rPr>
                <w:t>Section 3.08</w:t>
              </w:r>
            </w:hyperlink>
          </w:p>
        </w:tc>
        <w:tc>
          <w:tcPr>
            <w:tcW w:w="660" w:type="dxa"/>
            <w:vAlign w:val="bottom"/>
          </w:tcPr>
          <w:p>
            <w:pPr>
              <w:spacing w:after="0"/>
              <w:rPr>
                <w:sz w:val="24"/>
                <w:szCs w:val="24"/>
                <w:color w:val="auto"/>
              </w:rPr>
            </w:pPr>
          </w:p>
        </w:tc>
        <w:tc>
          <w:tcPr>
            <w:tcW w:w="3320" w:type="dxa"/>
            <w:vAlign w:val="bottom"/>
            <w:tcBorders>
              <w:top w:val="single" w:sz="8" w:color="0000EE"/>
              <w:bottom w:val="single" w:sz="8" w:color="0000EE"/>
            </w:tcBorders>
            <w:gridSpan w:val="27"/>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Payment of Interest; Interest Rights Preserved</w:t>
              </w:r>
            </w:hyperlink>
          </w:p>
        </w:tc>
        <w:tc>
          <w:tcPr>
            <w:tcW w:w="180" w:type="dxa"/>
            <w:vAlign w:val="bottom"/>
            <w:tcBorders>
              <w:top w:val="single" w:sz="8" w:color="0000EE"/>
            </w:tcBorders>
            <w:gridSpan w:val="3"/>
          </w:tcPr>
          <w:p>
            <w:pPr>
              <w:spacing w:after="0"/>
              <w:rPr>
                <w:sz w:val="24"/>
                <w:szCs w:val="24"/>
                <w:color w:val="auto"/>
              </w:rPr>
            </w:pPr>
          </w:p>
        </w:tc>
        <w:tc>
          <w:tcPr>
            <w:tcW w:w="3840" w:type="dxa"/>
            <w:vAlign w:val="bottom"/>
            <w:gridSpan w:val="3"/>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2"/>
        </w:trPr>
        <w:tc>
          <w:tcPr>
            <w:tcW w:w="340" w:type="dxa"/>
            <w:vAlign w:val="bottom"/>
          </w:tcPr>
          <w:p>
            <w:pPr>
              <w:spacing w:after="0"/>
              <w:rPr>
                <w:sz w:val="24"/>
                <w:szCs w:val="24"/>
                <w:color w:val="auto"/>
              </w:rPr>
            </w:pPr>
          </w:p>
        </w:tc>
        <w:tc>
          <w:tcPr>
            <w:tcW w:w="880" w:type="dxa"/>
            <w:vAlign w:val="bottom"/>
            <w:tcBorders>
              <w:bottom w:val="single" w:sz="8" w:color="0000EE"/>
            </w:tcBorders>
          </w:tcPr>
          <w:p>
            <w:pPr>
              <w:spacing w:after="0"/>
              <w:rPr>
                <w:rFonts w:ascii="Arial" w:cs="Arial" w:eastAsia="Arial" w:hAnsi="Arial"/>
                <w:sz w:val="18"/>
                <w:szCs w:val="18"/>
                <w:color w:val="0000EE"/>
                <w:w w:val="83"/>
              </w:rPr>
            </w:pPr>
            <w:hyperlink w:anchor="page44">
              <w:r>
                <w:rPr>
                  <w:rFonts w:ascii="Arial" w:cs="Arial" w:eastAsia="Arial" w:hAnsi="Arial"/>
                  <w:sz w:val="18"/>
                  <w:szCs w:val="18"/>
                  <w:color w:val="0000EE"/>
                  <w:w w:val="83"/>
                </w:rPr>
                <w:t>Section 3.09</w:t>
              </w:r>
            </w:hyperlink>
          </w:p>
        </w:tc>
        <w:tc>
          <w:tcPr>
            <w:tcW w:w="660" w:type="dxa"/>
            <w:vAlign w:val="bottom"/>
          </w:tcPr>
          <w:p>
            <w:pPr>
              <w:spacing w:after="0"/>
              <w:rPr>
                <w:sz w:val="24"/>
                <w:szCs w:val="24"/>
                <w:color w:val="auto"/>
              </w:rPr>
            </w:pPr>
          </w:p>
        </w:tc>
        <w:tc>
          <w:tcPr>
            <w:tcW w:w="9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Cancellation</w:t>
              </w:r>
            </w:hyperlink>
          </w:p>
        </w:tc>
        <w:tc>
          <w:tcPr>
            <w:tcW w:w="6420" w:type="dxa"/>
            <w:vAlign w:val="bottom"/>
            <w:gridSpan w:val="27"/>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2"/>
        </w:trPr>
        <w:tc>
          <w:tcPr>
            <w:tcW w:w="34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EE"/>
                <w:w w:val="83"/>
              </w:rPr>
            </w:pPr>
            <w:hyperlink w:anchor="page44">
              <w:r>
                <w:rPr>
                  <w:rFonts w:ascii="Arial" w:cs="Arial" w:eastAsia="Arial" w:hAnsi="Arial"/>
                  <w:sz w:val="18"/>
                  <w:szCs w:val="18"/>
                  <w:color w:val="0000EE"/>
                  <w:w w:val="83"/>
                </w:rPr>
                <w:t>Section 3.10</w:t>
              </w:r>
            </w:hyperlink>
          </w:p>
        </w:tc>
        <w:tc>
          <w:tcPr>
            <w:tcW w:w="660" w:type="dxa"/>
            <w:vAlign w:val="bottom"/>
          </w:tcPr>
          <w:p>
            <w:pPr>
              <w:spacing w:after="0"/>
              <w:rPr>
                <w:sz w:val="24"/>
                <w:szCs w:val="24"/>
                <w:color w:val="auto"/>
              </w:rPr>
            </w:pPr>
          </w:p>
        </w:tc>
        <w:tc>
          <w:tcPr>
            <w:tcW w:w="7340" w:type="dxa"/>
            <w:vAlign w:val="bottom"/>
            <w:gridSpan w:val="3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Computation of Interest</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3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EE"/>
                <w:w w:val="83"/>
              </w:rPr>
            </w:pPr>
            <w:hyperlink w:anchor="page45">
              <w:r>
                <w:rPr>
                  <w:rFonts w:ascii="Arial" w:cs="Arial" w:eastAsia="Arial" w:hAnsi="Arial"/>
                  <w:sz w:val="18"/>
                  <w:szCs w:val="18"/>
                  <w:color w:val="0000EE"/>
                  <w:w w:val="83"/>
                </w:rPr>
                <w:t>Section 3.11</w:t>
              </w:r>
            </w:hyperlink>
          </w:p>
        </w:tc>
        <w:tc>
          <w:tcPr>
            <w:tcW w:w="660" w:type="dxa"/>
            <w:vAlign w:val="bottom"/>
          </w:tcPr>
          <w:p>
            <w:pPr>
              <w:spacing w:after="0"/>
              <w:rPr>
                <w:sz w:val="24"/>
                <w:szCs w:val="24"/>
                <w:color w:val="auto"/>
              </w:rPr>
            </w:pPr>
          </w:p>
        </w:tc>
        <w:tc>
          <w:tcPr>
            <w:tcW w:w="7340" w:type="dxa"/>
            <w:vAlign w:val="bottom"/>
            <w:gridSpan w:val="3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Currency of Payments in Respect of Securities</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3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880" w:type="dxa"/>
            <w:vAlign w:val="bottom"/>
            <w:tcBorders>
              <w:bottom w:val="single" w:sz="8" w:color="0000EE"/>
            </w:tcBorders>
          </w:tcPr>
          <w:p>
            <w:pPr>
              <w:spacing w:after="0"/>
              <w:rPr>
                <w:rFonts w:ascii="Arial" w:cs="Arial" w:eastAsia="Arial" w:hAnsi="Arial"/>
                <w:sz w:val="18"/>
                <w:szCs w:val="18"/>
                <w:color w:val="0000EE"/>
                <w:w w:val="83"/>
              </w:rPr>
            </w:pPr>
            <w:hyperlink w:anchor="page45">
              <w:r>
                <w:rPr>
                  <w:rFonts w:ascii="Arial" w:cs="Arial" w:eastAsia="Arial" w:hAnsi="Arial"/>
                  <w:sz w:val="18"/>
                  <w:szCs w:val="18"/>
                  <w:color w:val="0000EE"/>
                  <w:w w:val="83"/>
                </w:rPr>
                <w:t>Section 3.12</w:t>
              </w:r>
            </w:hyperlink>
          </w:p>
        </w:tc>
        <w:tc>
          <w:tcPr>
            <w:tcW w:w="660" w:type="dxa"/>
            <w:vAlign w:val="bottom"/>
          </w:tcPr>
          <w:p>
            <w:pPr>
              <w:spacing w:after="0"/>
              <w:rPr>
                <w:sz w:val="24"/>
                <w:szCs w:val="24"/>
                <w:color w:val="auto"/>
              </w:rPr>
            </w:pPr>
          </w:p>
        </w:tc>
        <w:tc>
          <w:tcPr>
            <w:tcW w:w="78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45">
              <w:r>
                <w:rPr>
                  <w:rFonts w:ascii="Arial" w:cs="Arial" w:eastAsia="Arial" w:hAnsi="Arial"/>
                  <w:sz w:val="18"/>
                  <w:szCs w:val="18"/>
                  <w:color w:val="0000EE"/>
                  <w:w w:val="86"/>
                </w:rPr>
                <w:t>Judgments</w:t>
              </w:r>
            </w:hyperlink>
          </w:p>
        </w:tc>
        <w:tc>
          <w:tcPr>
            <w:tcW w:w="6560" w:type="dxa"/>
            <w:vAlign w:val="bottom"/>
            <w:gridSpan w:val="29"/>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34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EE"/>
                <w:w w:val="83"/>
              </w:rPr>
            </w:pPr>
            <w:hyperlink w:anchor="page45">
              <w:r>
                <w:rPr>
                  <w:rFonts w:ascii="Arial" w:cs="Arial" w:eastAsia="Arial" w:hAnsi="Arial"/>
                  <w:sz w:val="18"/>
                  <w:szCs w:val="18"/>
                  <w:color w:val="0000EE"/>
                  <w:w w:val="83"/>
                </w:rPr>
                <w:t>Section 3.13</w:t>
              </w:r>
            </w:hyperlink>
          </w:p>
        </w:tc>
        <w:tc>
          <w:tcPr>
            <w:tcW w:w="660" w:type="dxa"/>
            <w:vAlign w:val="bottom"/>
          </w:tcPr>
          <w:p>
            <w:pPr>
              <w:spacing w:after="0"/>
              <w:rPr>
                <w:sz w:val="24"/>
                <w:szCs w:val="24"/>
                <w:color w:val="auto"/>
              </w:rPr>
            </w:pPr>
          </w:p>
        </w:tc>
        <w:tc>
          <w:tcPr>
            <w:tcW w:w="7340" w:type="dxa"/>
            <w:vAlign w:val="bottom"/>
            <w:gridSpan w:val="3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CUSIP Numbers</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3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12"/>
        </w:trPr>
        <w:tc>
          <w:tcPr>
            <w:tcW w:w="9220" w:type="dxa"/>
            <w:vAlign w:val="bottom"/>
            <w:gridSpan w:val="36"/>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ARTICLE IV REDEMPTION OF SECURITIES</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3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4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880" w:type="dxa"/>
            <w:vAlign w:val="bottom"/>
            <w:tcBorders>
              <w:bottom w:val="single" w:sz="8" w:color="0000EE"/>
            </w:tcBorders>
          </w:tcPr>
          <w:p>
            <w:pPr>
              <w:spacing w:after="0"/>
              <w:rPr>
                <w:rFonts w:ascii="Arial" w:cs="Arial" w:eastAsia="Arial" w:hAnsi="Arial"/>
                <w:sz w:val="18"/>
                <w:szCs w:val="18"/>
                <w:color w:val="0000EE"/>
                <w:w w:val="83"/>
              </w:rPr>
            </w:pPr>
            <w:hyperlink w:anchor="page45">
              <w:r>
                <w:rPr>
                  <w:rFonts w:ascii="Arial" w:cs="Arial" w:eastAsia="Arial" w:hAnsi="Arial"/>
                  <w:sz w:val="18"/>
                  <w:szCs w:val="18"/>
                  <w:color w:val="0000EE"/>
                  <w:w w:val="83"/>
                </w:rPr>
                <w:t>Section 4.01</w:t>
              </w:r>
            </w:hyperlink>
          </w:p>
        </w:tc>
        <w:tc>
          <w:tcPr>
            <w:tcW w:w="660" w:type="dxa"/>
            <w:vAlign w:val="bottom"/>
          </w:tcPr>
          <w:p>
            <w:pPr>
              <w:spacing w:after="0"/>
              <w:rPr>
                <w:sz w:val="24"/>
                <w:szCs w:val="24"/>
                <w:color w:val="auto"/>
              </w:rPr>
            </w:pPr>
          </w:p>
        </w:tc>
        <w:tc>
          <w:tcPr>
            <w:tcW w:w="2720" w:type="dxa"/>
            <w:vAlign w:val="bottom"/>
            <w:tcBorders>
              <w:bottom w:val="single" w:sz="8" w:color="0000EE"/>
            </w:tcBorders>
            <w:gridSpan w:val="22"/>
          </w:tcPr>
          <w:p>
            <w:pPr>
              <w:spacing w:after="0"/>
              <w:rPr>
                <w:rFonts w:ascii="Arial" w:cs="Arial" w:eastAsia="Arial" w:hAnsi="Arial"/>
                <w:sz w:val="18"/>
                <w:szCs w:val="18"/>
                <w:color w:val="0000EE"/>
                <w:w w:val="95"/>
              </w:rPr>
            </w:pPr>
            <w:hyperlink w:anchor="page45">
              <w:r>
                <w:rPr>
                  <w:rFonts w:ascii="Arial" w:cs="Arial" w:eastAsia="Arial" w:hAnsi="Arial"/>
                  <w:sz w:val="18"/>
                  <w:szCs w:val="18"/>
                  <w:color w:val="0000EE"/>
                  <w:w w:val="95"/>
                </w:rPr>
                <w:t>Applicability of Right of Redemption</w:t>
              </w:r>
            </w:hyperlink>
          </w:p>
        </w:tc>
        <w:tc>
          <w:tcPr>
            <w:tcW w:w="4620" w:type="dxa"/>
            <w:vAlign w:val="bottom"/>
            <w:gridSpan w:val="11"/>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34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EE"/>
                <w:w w:val="83"/>
              </w:rPr>
            </w:pPr>
            <w:hyperlink w:anchor="page46">
              <w:r>
                <w:rPr>
                  <w:rFonts w:ascii="Arial" w:cs="Arial" w:eastAsia="Arial" w:hAnsi="Arial"/>
                  <w:sz w:val="18"/>
                  <w:szCs w:val="18"/>
                  <w:color w:val="0000EE"/>
                  <w:w w:val="83"/>
                </w:rPr>
                <w:t>Section 4.02</w:t>
              </w:r>
            </w:hyperlink>
          </w:p>
        </w:tc>
        <w:tc>
          <w:tcPr>
            <w:tcW w:w="660" w:type="dxa"/>
            <w:vAlign w:val="bottom"/>
          </w:tcPr>
          <w:p>
            <w:pPr>
              <w:spacing w:after="0"/>
              <w:rPr>
                <w:sz w:val="24"/>
                <w:szCs w:val="24"/>
                <w:color w:val="auto"/>
              </w:rPr>
            </w:pPr>
          </w:p>
        </w:tc>
        <w:tc>
          <w:tcPr>
            <w:tcW w:w="7340" w:type="dxa"/>
            <w:vAlign w:val="bottom"/>
            <w:gridSpan w:val="3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Selection of Securities to be Redeemed</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2"/>
        </w:trPr>
        <w:tc>
          <w:tcPr>
            <w:tcW w:w="340" w:type="dxa"/>
            <w:vAlign w:val="bottom"/>
          </w:tcPr>
          <w:p>
            <w:pPr>
              <w:spacing w:after="0"/>
              <w:rPr>
                <w:sz w:val="24"/>
                <w:szCs w:val="24"/>
                <w:color w:val="auto"/>
              </w:rPr>
            </w:pPr>
          </w:p>
        </w:tc>
        <w:tc>
          <w:tcPr>
            <w:tcW w:w="880" w:type="dxa"/>
            <w:vAlign w:val="bottom"/>
            <w:tcBorders>
              <w:top w:val="single" w:sz="8" w:color="0000EE"/>
            </w:tcBorders>
          </w:tcPr>
          <w:p>
            <w:pPr>
              <w:spacing w:after="0"/>
              <w:rPr>
                <w:rFonts w:ascii="Arial" w:cs="Arial" w:eastAsia="Arial" w:hAnsi="Arial"/>
                <w:sz w:val="18"/>
                <w:szCs w:val="18"/>
                <w:color w:val="0000EE"/>
                <w:w w:val="83"/>
              </w:rPr>
            </w:pPr>
            <w:hyperlink w:anchor="page46">
              <w:r>
                <w:rPr>
                  <w:rFonts w:ascii="Arial" w:cs="Arial" w:eastAsia="Arial" w:hAnsi="Arial"/>
                  <w:sz w:val="18"/>
                  <w:szCs w:val="18"/>
                  <w:color w:val="0000EE"/>
                  <w:w w:val="83"/>
                </w:rPr>
                <w:t>Section 4.03</w:t>
              </w:r>
            </w:hyperlink>
          </w:p>
        </w:tc>
        <w:tc>
          <w:tcPr>
            <w:tcW w:w="660" w:type="dxa"/>
            <w:vAlign w:val="bottom"/>
          </w:tcPr>
          <w:p>
            <w:pPr>
              <w:spacing w:after="0"/>
              <w:rPr>
                <w:sz w:val="24"/>
                <w:szCs w:val="24"/>
                <w:color w:val="auto"/>
              </w:rPr>
            </w:pPr>
          </w:p>
        </w:tc>
        <w:tc>
          <w:tcPr>
            <w:tcW w:w="2820" w:type="dxa"/>
            <w:vAlign w:val="bottom"/>
            <w:tcBorders>
              <w:top w:val="single" w:sz="8" w:color="0000EE"/>
            </w:tcBorders>
            <w:gridSpan w:val="2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Notice of Redemption</w:t>
              </w:r>
            </w:hyperlink>
          </w:p>
        </w:tc>
        <w:tc>
          <w:tcPr>
            <w:tcW w:w="4520" w:type="dxa"/>
            <w:vAlign w:val="bottom"/>
            <w:gridSpan w:val="9"/>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3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880" w:type="dxa"/>
            <w:vAlign w:val="bottom"/>
            <w:tcBorders>
              <w:bottom w:val="single" w:sz="8" w:color="0000EE"/>
            </w:tcBorders>
          </w:tcPr>
          <w:p>
            <w:pPr>
              <w:spacing w:after="0"/>
              <w:rPr>
                <w:rFonts w:ascii="Arial" w:cs="Arial" w:eastAsia="Arial" w:hAnsi="Arial"/>
                <w:sz w:val="18"/>
                <w:szCs w:val="18"/>
                <w:color w:val="0000EE"/>
                <w:w w:val="83"/>
              </w:rPr>
            </w:pPr>
            <w:hyperlink w:anchor="page47">
              <w:r>
                <w:rPr>
                  <w:rFonts w:ascii="Arial" w:cs="Arial" w:eastAsia="Arial" w:hAnsi="Arial"/>
                  <w:sz w:val="18"/>
                  <w:szCs w:val="18"/>
                  <w:color w:val="0000EE"/>
                  <w:w w:val="83"/>
                </w:rPr>
                <w:t>Section 4.04</w:t>
              </w:r>
            </w:hyperlink>
          </w:p>
        </w:tc>
        <w:tc>
          <w:tcPr>
            <w:tcW w:w="660" w:type="dxa"/>
            <w:vAlign w:val="bottom"/>
          </w:tcPr>
          <w:p>
            <w:pPr>
              <w:spacing w:after="0"/>
              <w:rPr>
                <w:sz w:val="24"/>
                <w:szCs w:val="24"/>
                <w:color w:val="auto"/>
              </w:rPr>
            </w:pPr>
          </w:p>
        </w:tc>
        <w:tc>
          <w:tcPr>
            <w:tcW w:w="21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Deposit of Redemption Price</w:t>
              </w:r>
            </w:hyperlink>
          </w:p>
        </w:tc>
        <w:tc>
          <w:tcPr>
            <w:tcW w:w="5240" w:type="dxa"/>
            <w:vAlign w:val="bottom"/>
            <w:gridSpan w:val="14"/>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2"/>
        </w:trPr>
        <w:tc>
          <w:tcPr>
            <w:tcW w:w="34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EE"/>
                <w:w w:val="83"/>
              </w:rPr>
            </w:pPr>
            <w:hyperlink w:anchor="page47">
              <w:r>
                <w:rPr>
                  <w:rFonts w:ascii="Arial" w:cs="Arial" w:eastAsia="Arial" w:hAnsi="Arial"/>
                  <w:sz w:val="18"/>
                  <w:szCs w:val="18"/>
                  <w:color w:val="0000EE"/>
                  <w:w w:val="83"/>
                </w:rPr>
                <w:t>Section 4.05</w:t>
              </w:r>
            </w:hyperlink>
          </w:p>
        </w:tc>
        <w:tc>
          <w:tcPr>
            <w:tcW w:w="660" w:type="dxa"/>
            <w:vAlign w:val="bottom"/>
          </w:tcPr>
          <w:p>
            <w:pPr>
              <w:spacing w:after="0"/>
              <w:rPr>
                <w:sz w:val="24"/>
                <w:szCs w:val="24"/>
                <w:color w:val="auto"/>
              </w:rPr>
            </w:pPr>
          </w:p>
        </w:tc>
        <w:tc>
          <w:tcPr>
            <w:tcW w:w="7340" w:type="dxa"/>
            <w:vAlign w:val="bottom"/>
            <w:gridSpan w:val="3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Securities Payable on Redemption Date</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2"/>
        </w:trPr>
        <w:tc>
          <w:tcPr>
            <w:tcW w:w="340" w:type="dxa"/>
            <w:vAlign w:val="bottom"/>
          </w:tcPr>
          <w:p>
            <w:pPr>
              <w:spacing w:after="0"/>
              <w:rPr>
                <w:sz w:val="24"/>
                <w:szCs w:val="24"/>
                <w:color w:val="auto"/>
              </w:rPr>
            </w:pPr>
          </w:p>
        </w:tc>
        <w:tc>
          <w:tcPr>
            <w:tcW w:w="880" w:type="dxa"/>
            <w:vAlign w:val="bottom"/>
            <w:tcBorders>
              <w:top w:val="single" w:sz="8" w:color="0000EE"/>
              <w:bottom w:val="single" w:sz="8" w:color="0000EE"/>
            </w:tcBorders>
          </w:tcPr>
          <w:p>
            <w:pPr>
              <w:spacing w:after="0"/>
              <w:rPr>
                <w:rFonts w:ascii="Arial" w:cs="Arial" w:eastAsia="Arial" w:hAnsi="Arial"/>
                <w:sz w:val="18"/>
                <w:szCs w:val="18"/>
                <w:color w:val="0000EE"/>
                <w:w w:val="83"/>
              </w:rPr>
            </w:pPr>
            <w:hyperlink w:anchor="page47">
              <w:r>
                <w:rPr>
                  <w:rFonts w:ascii="Arial" w:cs="Arial" w:eastAsia="Arial" w:hAnsi="Arial"/>
                  <w:sz w:val="18"/>
                  <w:szCs w:val="18"/>
                  <w:color w:val="0000EE"/>
                  <w:w w:val="83"/>
                </w:rPr>
                <w:t>Section 4.06</w:t>
              </w:r>
            </w:hyperlink>
          </w:p>
        </w:tc>
        <w:tc>
          <w:tcPr>
            <w:tcW w:w="660" w:type="dxa"/>
            <w:vAlign w:val="bottom"/>
          </w:tcPr>
          <w:p>
            <w:pPr>
              <w:spacing w:after="0"/>
              <w:rPr>
                <w:sz w:val="24"/>
                <w:szCs w:val="24"/>
                <w:color w:val="auto"/>
              </w:rPr>
            </w:pPr>
          </w:p>
        </w:tc>
        <w:tc>
          <w:tcPr>
            <w:tcW w:w="204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Securities Redeemed in Part</w:t>
              </w:r>
            </w:hyperlink>
          </w:p>
        </w:tc>
        <w:tc>
          <w:tcPr>
            <w:tcW w:w="820" w:type="dxa"/>
            <w:vAlign w:val="bottom"/>
            <w:tcBorders>
              <w:top w:val="single" w:sz="8" w:color="0000EE"/>
            </w:tcBorders>
            <w:gridSpan w:val="7"/>
          </w:tcPr>
          <w:p>
            <w:pPr>
              <w:spacing w:after="0"/>
              <w:rPr>
                <w:sz w:val="24"/>
                <w:szCs w:val="24"/>
                <w:color w:val="auto"/>
              </w:rPr>
            </w:pPr>
          </w:p>
        </w:tc>
        <w:tc>
          <w:tcPr>
            <w:tcW w:w="4480" w:type="dxa"/>
            <w:vAlign w:val="bottom"/>
            <w:gridSpan w:val="8"/>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2"/>
        </w:trPr>
        <w:tc>
          <w:tcPr>
            <w:tcW w:w="9220" w:type="dxa"/>
            <w:vAlign w:val="bottom"/>
            <w:gridSpan w:val="36"/>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ARTICLE V SINKING FUNDS</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3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4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880" w:type="dxa"/>
            <w:vAlign w:val="bottom"/>
            <w:tcBorders>
              <w:bottom w:val="single" w:sz="8" w:color="0000EE"/>
            </w:tcBorders>
          </w:tcPr>
          <w:p>
            <w:pPr>
              <w:spacing w:after="0"/>
              <w:rPr>
                <w:rFonts w:ascii="Arial" w:cs="Arial" w:eastAsia="Arial" w:hAnsi="Arial"/>
                <w:sz w:val="18"/>
                <w:szCs w:val="18"/>
                <w:color w:val="0000EE"/>
                <w:w w:val="83"/>
              </w:rPr>
            </w:pPr>
            <w:hyperlink w:anchor="page47">
              <w:r>
                <w:rPr>
                  <w:rFonts w:ascii="Arial" w:cs="Arial" w:eastAsia="Arial" w:hAnsi="Arial"/>
                  <w:sz w:val="18"/>
                  <w:szCs w:val="18"/>
                  <w:color w:val="0000EE"/>
                  <w:w w:val="83"/>
                </w:rPr>
                <w:t>Section 5.01</w:t>
              </w:r>
            </w:hyperlink>
          </w:p>
        </w:tc>
        <w:tc>
          <w:tcPr>
            <w:tcW w:w="660" w:type="dxa"/>
            <w:vAlign w:val="bottom"/>
          </w:tcPr>
          <w:p>
            <w:pPr>
              <w:spacing w:after="0"/>
              <w:rPr>
                <w:sz w:val="24"/>
                <w:szCs w:val="24"/>
                <w:color w:val="auto"/>
              </w:rPr>
            </w:pPr>
          </w:p>
        </w:tc>
        <w:tc>
          <w:tcPr>
            <w:tcW w:w="2180" w:type="dxa"/>
            <w:vAlign w:val="bottom"/>
            <w:tcBorders>
              <w:bottom w:val="single" w:sz="8" w:color="0000EE"/>
            </w:tcBorders>
            <w:gridSpan w:val="20"/>
          </w:tcPr>
          <w:p>
            <w:pPr>
              <w:spacing w:after="0"/>
              <w:rPr>
                <w:rFonts w:ascii="Arial" w:cs="Arial" w:eastAsia="Arial" w:hAnsi="Arial"/>
                <w:sz w:val="18"/>
                <w:szCs w:val="18"/>
                <w:color w:val="0000EE"/>
                <w:w w:val="95"/>
              </w:rPr>
            </w:pPr>
            <w:hyperlink w:anchor="page47">
              <w:r>
                <w:rPr>
                  <w:rFonts w:ascii="Arial" w:cs="Arial" w:eastAsia="Arial" w:hAnsi="Arial"/>
                  <w:sz w:val="18"/>
                  <w:szCs w:val="18"/>
                  <w:color w:val="0000EE"/>
                  <w:w w:val="95"/>
                </w:rPr>
                <w:t>Applicability of Sinking Fund</w:t>
              </w:r>
            </w:hyperlink>
          </w:p>
        </w:tc>
        <w:tc>
          <w:tcPr>
            <w:tcW w:w="5160" w:type="dxa"/>
            <w:vAlign w:val="bottom"/>
            <w:gridSpan w:val="13"/>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2"/>
        </w:trPr>
        <w:tc>
          <w:tcPr>
            <w:tcW w:w="34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EE"/>
                <w:w w:val="83"/>
              </w:rPr>
            </w:pPr>
            <w:hyperlink w:anchor="page48">
              <w:r>
                <w:rPr>
                  <w:rFonts w:ascii="Arial" w:cs="Arial" w:eastAsia="Arial" w:hAnsi="Arial"/>
                  <w:sz w:val="18"/>
                  <w:szCs w:val="18"/>
                  <w:color w:val="0000EE"/>
                  <w:w w:val="83"/>
                </w:rPr>
                <w:t>Section 5.02</w:t>
              </w:r>
            </w:hyperlink>
          </w:p>
        </w:tc>
        <w:tc>
          <w:tcPr>
            <w:tcW w:w="660" w:type="dxa"/>
            <w:vAlign w:val="bottom"/>
          </w:tcPr>
          <w:p>
            <w:pPr>
              <w:spacing w:after="0"/>
              <w:rPr>
                <w:sz w:val="24"/>
                <w:szCs w:val="24"/>
                <w:color w:val="auto"/>
              </w:rPr>
            </w:pPr>
          </w:p>
        </w:tc>
        <w:tc>
          <w:tcPr>
            <w:tcW w:w="7340" w:type="dxa"/>
            <w:vAlign w:val="bottom"/>
            <w:gridSpan w:val="3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Mandatory Sinking Fund Obligation</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3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880" w:type="dxa"/>
            <w:vAlign w:val="bottom"/>
            <w:tcBorders>
              <w:bottom w:val="single" w:sz="8" w:color="0000EE"/>
            </w:tcBorders>
          </w:tcPr>
          <w:p>
            <w:pPr>
              <w:spacing w:after="0"/>
              <w:rPr>
                <w:rFonts w:ascii="Arial" w:cs="Arial" w:eastAsia="Arial" w:hAnsi="Arial"/>
                <w:sz w:val="18"/>
                <w:szCs w:val="18"/>
                <w:color w:val="0000EE"/>
                <w:w w:val="83"/>
              </w:rPr>
            </w:pPr>
            <w:hyperlink w:anchor="page48">
              <w:r>
                <w:rPr>
                  <w:rFonts w:ascii="Arial" w:cs="Arial" w:eastAsia="Arial" w:hAnsi="Arial"/>
                  <w:sz w:val="18"/>
                  <w:szCs w:val="18"/>
                  <w:color w:val="0000EE"/>
                  <w:w w:val="83"/>
                </w:rPr>
                <w:t>Section 5.03</w:t>
              </w:r>
            </w:hyperlink>
          </w:p>
        </w:tc>
        <w:tc>
          <w:tcPr>
            <w:tcW w:w="660" w:type="dxa"/>
            <w:vAlign w:val="bottom"/>
          </w:tcPr>
          <w:p>
            <w:pPr>
              <w:spacing w:after="0"/>
              <w:rPr>
                <w:sz w:val="24"/>
                <w:szCs w:val="24"/>
                <w:color w:val="auto"/>
              </w:rPr>
            </w:pPr>
          </w:p>
        </w:tc>
        <w:tc>
          <w:tcPr>
            <w:tcW w:w="4100" w:type="dxa"/>
            <w:vAlign w:val="bottom"/>
            <w:tcBorders>
              <w:bottom w:val="single" w:sz="8" w:color="0000EE"/>
            </w:tcBorders>
            <w:gridSpan w:val="31"/>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Optional Redemption at Sinking Fund Redemption Price</w:t>
              </w:r>
            </w:hyperlink>
          </w:p>
        </w:tc>
        <w:tc>
          <w:tcPr>
            <w:tcW w:w="3240" w:type="dxa"/>
            <w:vAlign w:val="bottom"/>
            <w:gridSpan w:val="2"/>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34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EE"/>
                <w:w w:val="83"/>
              </w:rPr>
            </w:pPr>
            <w:hyperlink w:anchor="page48">
              <w:r>
                <w:rPr>
                  <w:rFonts w:ascii="Arial" w:cs="Arial" w:eastAsia="Arial" w:hAnsi="Arial"/>
                  <w:sz w:val="18"/>
                  <w:szCs w:val="18"/>
                  <w:color w:val="0000EE"/>
                  <w:w w:val="83"/>
                </w:rPr>
                <w:t>Section 5.04</w:t>
              </w:r>
            </w:hyperlink>
          </w:p>
        </w:tc>
        <w:tc>
          <w:tcPr>
            <w:tcW w:w="660" w:type="dxa"/>
            <w:vAlign w:val="bottom"/>
          </w:tcPr>
          <w:p>
            <w:pPr>
              <w:spacing w:after="0"/>
              <w:rPr>
                <w:sz w:val="24"/>
                <w:szCs w:val="24"/>
                <w:color w:val="auto"/>
              </w:rPr>
            </w:pPr>
          </w:p>
        </w:tc>
        <w:tc>
          <w:tcPr>
            <w:tcW w:w="7340" w:type="dxa"/>
            <w:vAlign w:val="bottom"/>
            <w:gridSpan w:val="3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Application of Sinking Fund Payment</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3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12"/>
        </w:trPr>
        <w:tc>
          <w:tcPr>
            <w:tcW w:w="5160" w:type="dxa"/>
            <w:vAlign w:val="bottom"/>
            <w:tcBorders>
              <w:bottom w:val="single" w:sz="8" w:color="0000EE"/>
            </w:tcBorders>
            <w:gridSpan w:val="29"/>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ARTICLE VI PARTICULAR COVENANTS OF THE COMPANY</w:t>
              </w:r>
            </w:hyperlink>
          </w:p>
        </w:tc>
        <w:tc>
          <w:tcPr>
            <w:tcW w:w="4060" w:type="dxa"/>
            <w:vAlign w:val="bottom"/>
            <w:gridSpan w:val="7"/>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340" w:type="dxa"/>
            <w:vAlign w:val="bottom"/>
          </w:tcPr>
          <w:p>
            <w:pPr>
              <w:spacing w:after="0"/>
              <w:rPr>
                <w:sz w:val="24"/>
                <w:szCs w:val="24"/>
                <w:color w:val="auto"/>
              </w:rPr>
            </w:pPr>
          </w:p>
        </w:tc>
        <w:tc>
          <w:tcPr>
            <w:tcW w:w="880" w:type="dxa"/>
            <w:vAlign w:val="bottom"/>
            <w:tcBorders>
              <w:bottom w:val="single" w:sz="8" w:color="0000EE"/>
            </w:tcBorders>
          </w:tcPr>
          <w:p>
            <w:pPr>
              <w:spacing w:after="0"/>
              <w:rPr>
                <w:rFonts w:ascii="Arial" w:cs="Arial" w:eastAsia="Arial" w:hAnsi="Arial"/>
                <w:sz w:val="18"/>
                <w:szCs w:val="18"/>
                <w:color w:val="0000EE"/>
                <w:w w:val="83"/>
              </w:rPr>
            </w:pPr>
            <w:hyperlink w:anchor="page49">
              <w:r>
                <w:rPr>
                  <w:rFonts w:ascii="Arial" w:cs="Arial" w:eastAsia="Arial" w:hAnsi="Arial"/>
                  <w:sz w:val="18"/>
                  <w:szCs w:val="18"/>
                  <w:color w:val="0000EE"/>
                  <w:w w:val="83"/>
                </w:rPr>
                <w:t>Section 6.01</w:t>
              </w:r>
            </w:hyperlink>
          </w:p>
        </w:tc>
        <w:tc>
          <w:tcPr>
            <w:tcW w:w="660" w:type="dxa"/>
            <w:vAlign w:val="bottom"/>
          </w:tcPr>
          <w:p>
            <w:pPr>
              <w:spacing w:after="0"/>
              <w:rPr>
                <w:sz w:val="24"/>
                <w:szCs w:val="24"/>
                <w:color w:val="auto"/>
              </w:rPr>
            </w:pPr>
          </w:p>
        </w:tc>
        <w:tc>
          <w:tcPr>
            <w:tcW w:w="16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Payments of Securities</w:t>
              </w:r>
            </w:hyperlink>
          </w:p>
        </w:tc>
        <w:tc>
          <w:tcPr>
            <w:tcW w:w="5680" w:type="dxa"/>
            <w:vAlign w:val="bottom"/>
            <w:gridSpan w:val="19"/>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34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EE"/>
                <w:w w:val="83"/>
              </w:rPr>
            </w:pPr>
            <w:hyperlink w:anchor="page49">
              <w:r>
                <w:rPr>
                  <w:rFonts w:ascii="Arial" w:cs="Arial" w:eastAsia="Arial" w:hAnsi="Arial"/>
                  <w:sz w:val="18"/>
                  <w:szCs w:val="18"/>
                  <w:color w:val="0000EE"/>
                  <w:w w:val="83"/>
                </w:rPr>
                <w:t>Section 6.02</w:t>
              </w:r>
            </w:hyperlink>
          </w:p>
        </w:tc>
        <w:tc>
          <w:tcPr>
            <w:tcW w:w="660" w:type="dxa"/>
            <w:vAlign w:val="bottom"/>
          </w:tcPr>
          <w:p>
            <w:pPr>
              <w:spacing w:after="0"/>
              <w:rPr>
                <w:sz w:val="24"/>
                <w:szCs w:val="24"/>
                <w:color w:val="auto"/>
              </w:rPr>
            </w:pPr>
          </w:p>
        </w:tc>
        <w:tc>
          <w:tcPr>
            <w:tcW w:w="7340" w:type="dxa"/>
            <w:vAlign w:val="bottom"/>
            <w:gridSpan w:val="3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Paying Agent</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3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920" w:type="dxa"/>
            <w:vAlign w:val="bottom"/>
            <w:gridSpan w:val="10"/>
          </w:tcPr>
          <w:p>
            <w:pPr>
              <w:spacing w:after="0" w:line="20" w:lineRule="exact"/>
              <w:rPr>
                <w:sz w:val="1"/>
                <w:szCs w:val="1"/>
                <w:color w:val="auto"/>
              </w:rPr>
            </w:pPr>
          </w:p>
        </w:tc>
        <w:tc>
          <w:tcPr>
            <w:tcW w:w="5440" w:type="dxa"/>
            <w:vAlign w:val="bottom"/>
            <w:gridSpan w:val="1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880" w:type="dxa"/>
            <w:vAlign w:val="bottom"/>
            <w:tcBorders>
              <w:bottom w:val="single" w:sz="8" w:color="0000EE"/>
            </w:tcBorders>
          </w:tcPr>
          <w:p>
            <w:pPr>
              <w:spacing w:after="0"/>
              <w:rPr>
                <w:rFonts w:ascii="Arial" w:cs="Arial" w:eastAsia="Arial" w:hAnsi="Arial"/>
                <w:sz w:val="18"/>
                <w:szCs w:val="18"/>
                <w:color w:val="0000EE"/>
                <w:w w:val="83"/>
              </w:rPr>
            </w:pPr>
            <w:hyperlink w:anchor="page49">
              <w:r>
                <w:rPr>
                  <w:rFonts w:ascii="Arial" w:cs="Arial" w:eastAsia="Arial" w:hAnsi="Arial"/>
                  <w:sz w:val="18"/>
                  <w:szCs w:val="18"/>
                  <w:color w:val="0000EE"/>
                  <w:w w:val="83"/>
                </w:rPr>
                <w:t>Section 6.03</w:t>
              </w:r>
            </w:hyperlink>
          </w:p>
        </w:tc>
        <w:tc>
          <w:tcPr>
            <w:tcW w:w="660" w:type="dxa"/>
            <w:vAlign w:val="bottom"/>
          </w:tcPr>
          <w:p>
            <w:pPr>
              <w:spacing w:after="0"/>
              <w:rPr>
                <w:sz w:val="24"/>
                <w:szCs w:val="24"/>
                <w:color w:val="auto"/>
              </w:rPr>
            </w:pPr>
          </w:p>
        </w:tc>
        <w:tc>
          <w:tcPr>
            <w:tcW w:w="190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To Hold Payment in Trust</w:t>
              </w:r>
            </w:hyperlink>
          </w:p>
        </w:tc>
        <w:tc>
          <w:tcPr>
            <w:tcW w:w="5440" w:type="dxa"/>
            <w:vAlign w:val="bottom"/>
            <w:gridSpan w:val="16"/>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300"/>
          </w:cols>
          <w:pgMar w:left="240" w:top="513" w:right="359" w:bottom="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920" w:type="dxa"/>
            <w:vAlign w:val="bottom"/>
            <w:tcBorders>
              <w:bottom w:val="single" w:sz="8" w:color="0000EE"/>
            </w:tcBorders>
          </w:tcPr>
          <w:p>
            <w:pPr>
              <w:spacing w:after="0"/>
              <w:rPr>
                <w:rFonts w:ascii="Arial" w:cs="Arial" w:eastAsia="Arial" w:hAnsi="Arial"/>
                <w:sz w:val="18"/>
                <w:szCs w:val="18"/>
                <w:color w:val="0000EE"/>
                <w:w w:val="87"/>
              </w:rPr>
            </w:pPr>
            <w:hyperlink w:anchor="page50">
              <w:r>
                <w:rPr>
                  <w:rFonts w:ascii="Arial" w:cs="Arial" w:eastAsia="Arial" w:hAnsi="Arial"/>
                  <w:sz w:val="18"/>
                  <w:szCs w:val="18"/>
                  <w:color w:val="0000EE"/>
                  <w:w w:val="87"/>
                </w:rPr>
                <w:t>Section 6.04</w:t>
              </w:r>
            </w:hyperlink>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0" w:type="dxa"/>
            <w:vAlign w:val="bottom"/>
            <w:tcBorders>
              <w:bottom w:val="single" w:sz="8" w:color="0000EE"/>
            </w:tcBorders>
            <w:gridSpan w:val="26"/>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Merger, Consolidation and Sale of Assets</w:t>
              </w:r>
            </w:hyperlink>
          </w:p>
        </w:tc>
        <w:tc>
          <w:tcPr>
            <w:tcW w:w="4780" w:type="dxa"/>
            <w:vAlign w:val="bottom"/>
            <w:gridSpan w:val="8"/>
          </w:tcPr>
          <w:p>
            <w:pPr>
              <w:spacing w:after="0"/>
              <w:rPr>
                <w:sz w:val="17"/>
                <w:szCs w:val="17"/>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412"/>
        </w:trPr>
        <w:tc>
          <w:tcPr>
            <w:tcW w:w="340" w:type="dxa"/>
            <w:vAlign w:val="bottom"/>
          </w:tcPr>
          <w:p>
            <w:pPr>
              <w:spacing w:after="0"/>
              <w:rPr>
                <w:sz w:val="24"/>
                <w:szCs w:val="24"/>
                <w:color w:val="auto"/>
              </w:rPr>
            </w:pPr>
          </w:p>
        </w:tc>
        <w:tc>
          <w:tcPr>
            <w:tcW w:w="920" w:type="dxa"/>
            <w:vAlign w:val="bottom"/>
            <w:tcBorders>
              <w:bottom w:val="single" w:sz="8" w:color="0000EE"/>
            </w:tcBorders>
          </w:tcPr>
          <w:p>
            <w:pPr>
              <w:spacing w:after="0"/>
              <w:rPr>
                <w:rFonts w:ascii="Arial" w:cs="Arial" w:eastAsia="Arial" w:hAnsi="Arial"/>
                <w:sz w:val="18"/>
                <w:szCs w:val="18"/>
                <w:color w:val="0000EE"/>
                <w:w w:val="87"/>
              </w:rPr>
            </w:pPr>
            <w:hyperlink w:anchor="page51">
              <w:r>
                <w:rPr>
                  <w:rFonts w:ascii="Arial" w:cs="Arial" w:eastAsia="Arial" w:hAnsi="Arial"/>
                  <w:sz w:val="18"/>
                  <w:szCs w:val="18"/>
                  <w:color w:val="0000EE"/>
                  <w:w w:val="87"/>
                </w:rPr>
                <w:t>Section 6.05</w:t>
              </w:r>
            </w:hyperlink>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Compliance Certificate</w:t>
              </w:r>
            </w:hyperlink>
          </w:p>
        </w:tc>
        <w:tc>
          <w:tcPr>
            <w:tcW w:w="6100" w:type="dxa"/>
            <w:vAlign w:val="bottom"/>
            <w:gridSpan w:val="22"/>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412"/>
        </w:trPr>
        <w:tc>
          <w:tcPr>
            <w:tcW w:w="340" w:type="dxa"/>
            <w:vAlign w:val="bottom"/>
          </w:tcPr>
          <w:p>
            <w:pPr>
              <w:spacing w:after="0"/>
              <w:rPr>
                <w:sz w:val="24"/>
                <w:szCs w:val="24"/>
                <w:color w:val="auto"/>
              </w:rPr>
            </w:pPr>
          </w:p>
        </w:tc>
        <w:tc>
          <w:tcPr>
            <w:tcW w:w="980" w:type="dxa"/>
            <w:vAlign w:val="bottom"/>
            <w:gridSpan w:val="2"/>
          </w:tcPr>
          <w:p>
            <w:pPr>
              <w:spacing w:after="0"/>
              <w:rPr>
                <w:rFonts w:ascii="Arial" w:cs="Arial" w:eastAsia="Arial" w:hAnsi="Arial"/>
                <w:sz w:val="18"/>
                <w:szCs w:val="18"/>
                <w:color w:val="0000EE"/>
                <w:w w:val="95"/>
              </w:rPr>
            </w:pPr>
            <w:hyperlink w:anchor="page51">
              <w:r>
                <w:rPr>
                  <w:rFonts w:ascii="Arial" w:cs="Arial" w:eastAsia="Arial" w:hAnsi="Arial"/>
                  <w:sz w:val="18"/>
                  <w:szCs w:val="18"/>
                  <w:color w:val="0000EE"/>
                  <w:w w:val="95"/>
                </w:rPr>
                <w:t>Section 6.06</w:t>
              </w:r>
            </w:hyperlink>
          </w:p>
        </w:tc>
        <w:tc>
          <w:tcPr>
            <w:tcW w:w="560" w:type="dxa"/>
            <w:vAlign w:val="bottom"/>
          </w:tcPr>
          <w:p>
            <w:pPr>
              <w:spacing w:after="0"/>
              <w:rPr>
                <w:sz w:val="24"/>
                <w:szCs w:val="24"/>
                <w:color w:val="auto"/>
              </w:rPr>
            </w:pPr>
          </w:p>
        </w:tc>
        <w:tc>
          <w:tcPr>
            <w:tcW w:w="7780" w:type="dxa"/>
            <w:vAlign w:val="bottom"/>
            <w:gridSpan w:val="3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Conditional Waiver by Holders of Securities</w:t>
              </w:r>
            </w:hyperlink>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412"/>
        </w:trPr>
        <w:tc>
          <w:tcPr>
            <w:tcW w:w="340" w:type="dxa"/>
            <w:vAlign w:val="bottom"/>
          </w:tcPr>
          <w:p>
            <w:pPr>
              <w:spacing w:after="0"/>
              <w:rPr>
                <w:sz w:val="24"/>
                <w:szCs w:val="24"/>
                <w:color w:val="auto"/>
              </w:rPr>
            </w:pPr>
          </w:p>
        </w:tc>
        <w:tc>
          <w:tcPr>
            <w:tcW w:w="920" w:type="dxa"/>
            <w:vAlign w:val="bottom"/>
            <w:tcBorders>
              <w:top w:val="single" w:sz="8" w:color="0000EE"/>
            </w:tcBorders>
          </w:tcPr>
          <w:p>
            <w:pPr>
              <w:spacing w:after="0"/>
              <w:rPr>
                <w:rFonts w:ascii="Arial" w:cs="Arial" w:eastAsia="Arial" w:hAnsi="Arial"/>
                <w:sz w:val="18"/>
                <w:szCs w:val="18"/>
                <w:color w:val="0000EE"/>
                <w:w w:val="87"/>
              </w:rPr>
            </w:pPr>
            <w:hyperlink w:anchor="page51">
              <w:r>
                <w:rPr>
                  <w:rFonts w:ascii="Arial" w:cs="Arial" w:eastAsia="Arial" w:hAnsi="Arial"/>
                  <w:sz w:val="18"/>
                  <w:szCs w:val="18"/>
                  <w:color w:val="0000EE"/>
                  <w:w w:val="87"/>
                </w:rPr>
                <w:t>Section 6.07</w:t>
              </w:r>
            </w:hyperlink>
          </w:p>
        </w:tc>
        <w:tc>
          <w:tcPr>
            <w:tcW w:w="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3200" w:type="dxa"/>
            <w:vAlign w:val="bottom"/>
            <w:tcBorders>
              <w:top w:val="single" w:sz="8" w:color="0000EE"/>
            </w:tcBorders>
            <w:gridSpan w:val="2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Statement by Officers as to Default</w:t>
              </w:r>
            </w:hyperlink>
          </w:p>
        </w:tc>
        <w:tc>
          <w:tcPr>
            <w:tcW w:w="4580" w:type="dxa"/>
            <w:vAlign w:val="bottom"/>
            <w:gridSpan w:val="6"/>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0"/>
        </w:trPr>
        <w:tc>
          <w:tcPr>
            <w:tcW w:w="34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12"/>
        </w:trPr>
        <w:tc>
          <w:tcPr>
            <w:tcW w:w="5620" w:type="dxa"/>
            <w:vAlign w:val="bottom"/>
            <w:tcBorders>
              <w:bottom w:val="single" w:sz="8" w:color="0000EE"/>
            </w:tcBorders>
            <w:gridSpan w:val="35"/>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ARTICLE VII REMEDIES OF TRUSTEE AND SECURITYHOLDERS</w:t>
              </w:r>
            </w:hyperlink>
          </w:p>
        </w:tc>
        <w:tc>
          <w:tcPr>
            <w:tcW w:w="4040" w:type="dxa"/>
            <w:vAlign w:val="bottom"/>
            <w:gridSpan w:val="3"/>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412"/>
        </w:trPr>
        <w:tc>
          <w:tcPr>
            <w:tcW w:w="340" w:type="dxa"/>
            <w:vAlign w:val="bottom"/>
          </w:tcPr>
          <w:p>
            <w:pPr>
              <w:spacing w:after="0"/>
              <w:rPr>
                <w:sz w:val="24"/>
                <w:szCs w:val="24"/>
                <w:color w:val="auto"/>
              </w:rPr>
            </w:pPr>
          </w:p>
        </w:tc>
        <w:tc>
          <w:tcPr>
            <w:tcW w:w="920" w:type="dxa"/>
            <w:vAlign w:val="bottom"/>
            <w:tcBorders>
              <w:bottom w:val="single" w:sz="8" w:color="0000EE"/>
            </w:tcBorders>
          </w:tcPr>
          <w:p>
            <w:pPr>
              <w:spacing w:after="0"/>
              <w:rPr>
                <w:rFonts w:ascii="Arial" w:cs="Arial" w:eastAsia="Arial" w:hAnsi="Arial"/>
                <w:sz w:val="18"/>
                <w:szCs w:val="18"/>
                <w:color w:val="0000EE"/>
                <w:w w:val="87"/>
              </w:rPr>
            </w:pPr>
            <w:hyperlink w:anchor="page52">
              <w:r>
                <w:rPr>
                  <w:rFonts w:ascii="Arial" w:cs="Arial" w:eastAsia="Arial" w:hAnsi="Arial"/>
                  <w:sz w:val="18"/>
                  <w:szCs w:val="18"/>
                  <w:color w:val="0000EE"/>
                  <w:w w:val="87"/>
                </w:rPr>
                <w:t>Section 7.01</w:t>
              </w:r>
            </w:hyperlink>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Events of Default</w:t>
              </w:r>
            </w:hyperlink>
          </w:p>
        </w:tc>
        <w:tc>
          <w:tcPr>
            <w:tcW w:w="6500" w:type="dxa"/>
            <w:vAlign w:val="bottom"/>
            <w:gridSpan w:val="29"/>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412"/>
        </w:trPr>
        <w:tc>
          <w:tcPr>
            <w:tcW w:w="340" w:type="dxa"/>
            <w:vAlign w:val="bottom"/>
          </w:tcPr>
          <w:p>
            <w:pPr>
              <w:spacing w:after="0"/>
              <w:rPr>
                <w:sz w:val="24"/>
                <w:szCs w:val="24"/>
                <w:color w:val="auto"/>
              </w:rPr>
            </w:pPr>
          </w:p>
        </w:tc>
        <w:tc>
          <w:tcPr>
            <w:tcW w:w="920" w:type="dxa"/>
            <w:vAlign w:val="bottom"/>
          </w:tcPr>
          <w:p>
            <w:pPr>
              <w:spacing w:after="0"/>
              <w:rPr>
                <w:rFonts w:ascii="Arial" w:cs="Arial" w:eastAsia="Arial" w:hAnsi="Arial"/>
                <w:sz w:val="18"/>
                <w:szCs w:val="18"/>
                <w:color w:val="0000EE"/>
                <w:w w:val="87"/>
              </w:rPr>
            </w:pPr>
            <w:hyperlink w:anchor="page53">
              <w:r>
                <w:rPr>
                  <w:rFonts w:ascii="Arial" w:cs="Arial" w:eastAsia="Arial" w:hAnsi="Arial"/>
                  <w:sz w:val="18"/>
                  <w:szCs w:val="18"/>
                  <w:color w:val="0000EE"/>
                  <w:w w:val="87"/>
                </w:rPr>
                <w:t>Section 7.02</w:t>
              </w:r>
            </w:hyperlink>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780" w:type="dxa"/>
            <w:vAlign w:val="bottom"/>
            <w:gridSpan w:val="3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Acceleration; Rescission and Annulment</w:t>
              </w:r>
            </w:hyperlink>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412"/>
        </w:trPr>
        <w:tc>
          <w:tcPr>
            <w:tcW w:w="340" w:type="dxa"/>
            <w:vAlign w:val="bottom"/>
          </w:tcPr>
          <w:p>
            <w:pPr>
              <w:spacing w:after="0"/>
              <w:rPr>
                <w:sz w:val="24"/>
                <w:szCs w:val="24"/>
                <w:color w:val="auto"/>
              </w:rPr>
            </w:pPr>
          </w:p>
        </w:tc>
        <w:tc>
          <w:tcPr>
            <w:tcW w:w="920" w:type="dxa"/>
            <w:vAlign w:val="bottom"/>
            <w:tcBorders>
              <w:top w:val="single" w:sz="8" w:color="0000EE"/>
            </w:tcBorders>
          </w:tcPr>
          <w:p>
            <w:pPr>
              <w:spacing w:after="0"/>
              <w:rPr>
                <w:rFonts w:ascii="Arial" w:cs="Arial" w:eastAsia="Arial" w:hAnsi="Arial"/>
                <w:sz w:val="18"/>
                <w:szCs w:val="18"/>
                <w:color w:val="0000EE"/>
                <w:w w:val="87"/>
              </w:rPr>
            </w:pPr>
            <w:hyperlink w:anchor="page54">
              <w:r>
                <w:rPr>
                  <w:rFonts w:ascii="Arial" w:cs="Arial" w:eastAsia="Arial" w:hAnsi="Arial"/>
                  <w:sz w:val="18"/>
                  <w:szCs w:val="18"/>
                  <w:color w:val="0000EE"/>
                  <w:w w:val="87"/>
                </w:rPr>
                <w:t>Section 7.03</w:t>
              </w:r>
            </w:hyperlink>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40" w:type="dxa"/>
            <w:vAlign w:val="bottom"/>
            <w:tcBorders>
              <w:top w:val="single" w:sz="8" w:color="0000EE"/>
            </w:tcBorders>
            <w:gridSpan w:val="2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Other Remedies</w:t>
              </w:r>
            </w:hyperlink>
          </w:p>
        </w:tc>
        <w:tc>
          <w:tcPr>
            <w:tcW w:w="4840" w:type="dxa"/>
            <w:vAlign w:val="bottom"/>
            <w:gridSpan w:val="9"/>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0"/>
        </w:trPr>
        <w:tc>
          <w:tcPr>
            <w:tcW w:w="34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920" w:type="dxa"/>
            <w:vAlign w:val="bottom"/>
          </w:tcPr>
          <w:p>
            <w:pPr>
              <w:spacing w:after="0"/>
              <w:rPr>
                <w:rFonts w:ascii="Arial" w:cs="Arial" w:eastAsia="Arial" w:hAnsi="Arial"/>
                <w:sz w:val="18"/>
                <w:szCs w:val="18"/>
                <w:color w:val="0000EE"/>
                <w:w w:val="87"/>
              </w:rPr>
            </w:pPr>
            <w:hyperlink w:anchor="page54">
              <w:r>
                <w:rPr>
                  <w:rFonts w:ascii="Arial" w:cs="Arial" w:eastAsia="Arial" w:hAnsi="Arial"/>
                  <w:sz w:val="18"/>
                  <w:szCs w:val="18"/>
                  <w:color w:val="0000EE"/>
                  <w:w w:val="87"/>
                </w:rPr>
                <w:t>Section 7.04</w:t>
              </w:r>
            </w:hyperlink>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780" w:type="dxa"/>
            <w:vAlign w:val="bottom"/>
            <w:gridSpan w:val="3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Trustee as Attorney-in-Fact</w:t>
              </w:r>
            </w:hyperlink>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412"/>
        </w:trPr>
        <w:tc>
          <w:tcPr>
            <w:tcW w:w="340" w:type="dxa"/>
            <w:vAlign w:val="bottom"/>
          </w:tcPr>
          <w:p>
            <w:pPr>
              <w:spacing w:after="0"/>
              <w:rPr>
                <w:sz w:val="24"/>
                <w:szCs w:val="24"/>
                <w:color w:val="auto"/>
              </w:rPr>
            </w:pPr>
          </w:p>
        </w:tc>
        <w:tc>
          <w:tcPr>
            <w:tcW w:w="920" w:type="dxa"/>
            <w:vAlign w:val="bottom"/>
            <w:tcBorders>
              <w:top w:val="single" w:sz="8" w:color="0000EE"/>
            </w:tcBorders>
          </w:tcPr>
          <w:p>
            <w:pPr>
              <w:spacing w:after="0"/>
              <w:rPr>
                <w:rFonts w:ascii="Arial" w:cs="Arial" w:eastAsia="Arial" w:hAnsi="Arial"/>
                <w:sz w:val="18"/>
                <w:szCs w:val="18"/>
                <w:color w:val="0000EE"/>
                <w:w w:val="87"/>
              </w:rPr>
            </w:pPr>
            <w:hyperlink w:anchor="page55">
              <w:r>
                <w:rPr>
                  <w:rFonts w:ascii="Arial" w:cs="Arial" w:eastAsia="Arial" w:hAnsi="Arial"/>
                  <w:sz w:val="18"/>
                  <w:szCs w:val="18"/>
                  <w:color w:val="0000EE"/>
                  <w:w w:val="87"/>
                </w:rPr>
                <w:t>Section 7.05</w:t>
              </w:r>
            </w:hyperlink>
          </w:p>
        </w:tc>
        <w:tc>
          <w:tcPr>
            <w:tcW w:w="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Borders>
              <w:top w:val="single" w:sz="8" w:color="0000EE"/>
            </w:tcBorders>
            <w:gridSpan w:val="1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Priorities</w:t>
              </w:r>
            </w:hyperlink>
          </w:p>
        </w:tc>
        <w:tc>
          <w:tcPr>
            <w:tcW w:w="5800" w:type="dxa"/>
            <w:vAlign w:val="bottom"/>
            <w:gridSpan w:val="16"/>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20"/>
        </w:trPr>
        <w:tc>
          <w:tcPr>
            <w:tcW w:w="34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920" w:type="dxa"/>
            <w:vAlign w:val="bottom"/>
            <w:tcBorders>
              <w:bottom w:val="single" w:sz="8" w:color="0000EE"/>
            </w:tcBorders>
          </w:tcPr>
          <w:p>
            <w:pPr>
              <w:spacing w:after="0"/>
              <w:rPr>
                <w:rFonts w:ascii="Arial" w:cs="Arial" w:eastAsia="Arial" w:hAnsi="Arial"/>
                <w:sz w:val="18"/>
                <w:szCs w:val="18"/>
                <w:color w:val="0000EE"/>
                <w:w w:val="87"/>
              </w:rPr>
            </w:pPr>
            <w:hyperlink w:anchor="page55">
              <w:r>
                <w:rPr>
                  <w:rFonts w:ascii="Arial" w:cs="Arial" w:eastAsia="Arial" w:hAnsi="Arial"/>
                  <w:sz w:val="18"/>
                  <w:szCs w:val="18"/>
                  <w:color w:val="0000EE"/>
                  <w:w w:val="87"/>
                </w:rPr>
                <w:t>Section 7.06</w:t>
              </w:r>
            </w:hyperlink>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60" w:type="dxa"/>
            <w:vAlign w:val="bottom"/>
            <w:tcBorders>
              <w:bottom w:val="single" w:sz="8" w:color="0000EE"/>
            </w:tcBorders>
            <w:gridSpan w:val="32"/>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Control by Securityholders; Waiver of Past Defaults</w:t>
              </w:r>
            </w:hyperlink>
          </w:p>
        </w:tc>
        <w:tc>
          <w:tcPr>
            <w:tcW w:w="4020" w:type="dxa"/>
            <w:vAlign w:val="bottom"/>
            <w:gridSpan w:val="2"/>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412"/>
        </w:trPr>
        <w:tc>
          <w:tcPr>
            <w:tcW w:w="340" w:type="dxa"/>
            <w:vAlign w:val="bottom"/>
          </w:tcPr>
          <w:p>
            <w:pPr>
              <w:spacing w:after="0"/>
              <w:rPr>
                <w:sz w:val="24"/>
                <w:szCs w:val="24"/>
                <w:color w:val="auto"/>
              </w:rPr>
            </w:pPr>
          </w:p>
        </w:tc>
        <w:tc>
          <w:tcPr>
            <w:tcW w:w="920" w:type="dxa"/>
            <w:vAlign w:val="bottom"/>
            <w:tcBorders>
              <w:bottom w:val="single" w:sz="8" w:color="0000EE"/>
            </w:tcBorders>
          </w:tcPr>
          <w:p>
            <w:pPr>
              <w:spacing w:after="0"/>
              <w:rPr>
                <w:rFonts w:ascii="Arial" w:cs="Arial" w:eastAsia="Arial" w:hAnsi="Arial"/>
                <w:sz w:val="18"/>
                <w:szCs w:val="18"/>
                <w:color w:val="0000EE"/>
                <w:w w:val="87"/>
              </w:rPr>
            </w:pPr>
            <w:hyperlink w:anchor="page55">
              <w:r>
                <w:rPr>
                  <w:rFonts w:ascii="Arial" w:cs="Arial" w:eastAsia="Arial" w:hAnsi="Arial"/>
                  <w:sz w:val="18"/>
                  <w:szCs w:val="18"/>
                  <w:color w:val="0000EE"/>
                  <w:w w:val="87"/>
                </w:rPr>
                <w:t>Section 7.07</w:t>
              </w:r>
            </w:hyperlink>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55">
              <w:r>
                <w:rPr>
                  <w:rFonts w:ascii="Arial" w:cs="Arial" w:eastAsia="Arial" w:hAnsi="Arial"/>
                  <w:sz w:val="18"/>
                  <w:szCs w:val="18"/>
                  <w:color w:val="0000EE"/>
                  <w:w w:val="93"/>
                </w:rPr>
                <w:t>Limitation on Suits</w:t>
              </w:r>
            </w:hyperlink>
          </w:p>
        </w:tc>
        <w:tc>
          <w:tcPr>
            <w:tcW w:w="6380" w:type="dxa"/>
            <w:vAlign w:val="bottom"/>
            <w:gridSpan w:val="27"/>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412"/>
        </w:trPr>
        <w:tc>
          <w:tcPr>
            <w:tcW w:w="340" w:type="dxa"/>
            <w:vAlign w:val="bottom"/>
          </w:tcPr>
          <w:p>
            <w:pPr>
              <w:spacing w:after="0"/>
              <w:rPr>
                <w:sz w:val="24"/>
                <w:szCs w:val="24"/>
                <w:color w:val="auto"/>
              </w:rPr>
            </w:pPr>
          </w:p>
        </w:tc>
        <w:tc>
          <w:tcPr>
            <w:tcW w:w="920" w:type="dxa"/>
            <w:vAlign w:val="bottom"/>
            <w:tcBorders>
              <w:bottom w:val="single" w:sz="8" w:color="0000EE"/>
            </w:tcBorders>
          </w:tcPr>
          <w:p>
            <w:pPr>
              <w:spacing w:after="0"/>
              <w:rPr>
                <w:rFonts w:ascii="Arial" w:cs="Arial" w:eastAsia="Arial" w:hAnsi="Arial"/>
                <w:sz w:val="18"/>
                <w:szCs w:val="18"/>
                <w:color w:val="0000EE"/>
                <w:w w:val="87"/>
              </w:rPr>
            </w:pPr>
            <w:hyperlink w:anchor="page56">
              <w:r>
                <w:rPr>
                  <w:rFonts w:ascii="Arial" w:cs="Arial" w:eastAsia="Arial" w:hAnsi="Arial"/>
                  <w:sz w:val="18"/>
                  <w:szCs w:val="18"/>
                  <w:color w:val="0000EE"/>
                  <w:w w:val="87"/>
                </w:rPr>
                <w:t>Section 7.08</w:t>
              </w:r>
            </w:hyperlink>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Undertaking for Costs</w:t>
              </w:r>
            </w:hyperlink>
          </w:p>
        </w:tc>
        <w:tc>
          <w:tcPr>
            <w:tcW w:w="6160" w:type="dxa"/>
            <w:vAlign w:val="bottom"/>
            <w:gridSpan w:val="23"/>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412"/>
        </w:trPr>
        <w:tc>
          <w:tcPr>
            <w:tcW w:w="340" w:type="dxa"/>
            <w:vAlign w:val="bottom"/>
          </w:tcPr>
          <w:p>
            <w:pPr>
              <w:spacing w:after="0"/>
              <w:rPr>
                <w:sz w:val="24"/>
                <w:szCs w:val="24"/>
                <w:color w:val="auto"/>
              </w:rPr>
            </w:pPr>
          </w:p>
        </w:tc>
        <w:tc>
          <w:tcPr>
            <w:tcW w:w="920" w:type="dxa"/>
            <w:vAlign w:val="bottom"/>
            <w:tcBorders>
              <w:bottom w:val="single" w:sz="8" w:color="0000EE"/>
            </w:tcBorders>
          </w:tcPr>
          <w:p>
            <w:pPr>
              <w:spacing w:after="0"/>
              <w:rPr>
                <w:rFonts w:ascii="Arial" w:cs="Arial" w:eastAsia="Arial" w:hAnsi="Arial"/>
                <w:sz w:val="18"/>
                <w:szCs w:val="18"/>
                <w:color w:val="0000EE"/>
                <w:w w:val="87"/>
              </w:rPr>
            </w:pPr>
            <w:hyperlink w:anchor="page56">
              <w:r>
                <w:rPr>
                  <w:rFonts w:ascii="Arial" w:cs="Arial" w:eastAsia="Arial" w:hAnsi="Arial"/>
                  <w:sz w:val="18"/>
                  <w:szCs w:val="18"/>
                  <w:color w:val="0000EE"/>
                  <w:w w:val="87"/>
                </w:rPr>
                <w:t>Section 7.09</w:t>
              </w:r>
            </w:hyperlink>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Remedies Cumulative</w:t>
              </w:r>
            </w:hyperlink>
          </w:p>
        </w:tc>
        <w:tc>
          <w:tcPr>
            <w:tcW w:w="6180" w:type="dxa"/>
            <w:vAlign w:val="bottom"/>
            <w:gridSpan w:val="24"/>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412"/>
        </w:trPr>
        <w:tc>
          <w:tcPr>
            <w:tcW w:w="9660" w:type="dxa"/>
            <w:vAlign w:val="bottom"/>
            <w:gridSpan w:val="38"/>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ARTICLE VIII CONCERNING THE SECURITYHOLDERS</w:t>
              </w:r>
            </w:hyperlink>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412"/>
        </w:trPr>
        <w:tc>
          <w:tcPr>
            <w:tcW w:w="340" w:type="dxa"/>
            <w:vAlign w:val="bottom"/>
            <w:tcBorders>
              <w:top w:val="single" w:sz="8" w:color="0000EE"/>
            </w:tcBorders>
          </w:tcPr>
          <w:p>
            <w:pPr>
              <w:spacing w:after="0"/>
              <w:rPr>
                <w:sz w:val="24"/>
                <w:szCs w:val="24"/>
                <w:color w:val="auto"/>
              </w:rPr>
            </w:pPr>
          </w:p>
        </w:tc>
        <w:tc>
          <w:tcPr>
            <w:tcW w:w="92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56">
              <w:r>
                <w:rPr>
                  <w:rFonts w:ascii="Arial" w:cs="Arial" w:eastAsia="Arial" w:hAnsi="Arial"/>
                  <w:sz w:val="18"/>
                  <w:szCs w:val="18"/>
                  <w:color w:val="0000EE"/>
                  <w:w w:val="87"/>
                </w:rPr>
                <w:t>Section 8.01</w:t>
              </w:r>
            </w:hyperlink>
          </w:p>
        </w:tc>
        <w:tc>
          <w:tcPr>
            <w:tcW w:w="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780" w:type="dxa"/>
            <w:vAlign w:val="bottom"/>
            <w:tcBorders>
              <w:top w:val="single" w:sz="8" w:color="0000EE"/>
              <w:bottom w:val="single" w:sz="8" w:color="0000EE"/>
            </w:tcBorders>
            <w:gridSpan w:val="23"/>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Evidence of Action of Securityholders</w:t>
              </w:r>
            </w:hyperlink>
          </w:p>
        </w:tc>
        <w:tc>
          <w:tcPr>
            <w:tcW w:w="120" w:type="dxa"/>
            <w:vAlign w:val="bottom"/>
            <w:tcBorders>
              <w:top w:val="single" w:sz="8" w:color="0000EE"/>
            </w:tcBorders>
          </w:tcPr>
          <w:p>
            <w:pPr>
              <w:spacing w:after="0"/>
              <w:rPr>
                <w:sz w:val="24"/>
                <w:szCs w:val="24"/>
                <w:color w:val="auto"/>
              </w:rPr>
            </w:pPr>
          </w:p>
        </w:tc>
        <w:tc>
          <w:tcPr>
            <w:tcW w:w="4880" w:type="dxa"/>
            <w:vAlign w:val="bottom"/>
            <w:gridSpan w:val="10"/>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412"/>
        </w:trPr>
        <w:tc>
          <w:tcPr>
            <w:tcW w:w="340" w:type="dxa"/>
            <w:vAlign w:val="bottom"/>
          </w:tcPr>
          <w:p>
            <w:pPr>
              <w:spacing w:after="0"/>
              <w:rPr>
                <w:sz w:val="24"/>
                <w:szCs w:val="24"/>
                <w:color w:val="auto"/>
              </w:rPr>
            </w:pPr>
          </w:p>
        </w:tc>
        <w:tc>
          <w:tcPr>
            <w:tcW w:w="920" w:type="dxa"/>
            <w:vAlign w:val="bottom"/>
            <w:tcBorders>
              <w:bottom w:val="single" w:sz="8" w:color="0000EE"/>
            </w:tcBorders>
          </w:tcPr>
          <w:p>
            <w:pPr>
              <w:spacing w:after="0"/>
              <w:rPr>
                <w:rFonts w:ascii="Arial" w:cs="Arial" w:eastAsia="Arial" w:hAnsi="Arial"/>
                <w:sz w:val="18"/>
                <w:szCs w:val="18"/>
                <w:color w:val="0000EE"/>
                <w:w w:val="87"/>
              </w:rPr>
            </w:pPr>
            <w:hyperlink w:anchor="page57">
              <w:r>
                <w:rPr>
                  <w:rFonts w:ascii="Arial" w:cs="Arial" w:eastAsia="Arial" w:hAnsi="Arial"/>
                  <w:sz w:val="18"/>
                  <w:szCs w:val="18"/>
                  <w:color w:val="0000EE"/>
                  <w:w w:val="87"/>
                </w:rPr>
                <w:t>Section 8.02</w:t>
              </w:r>
            </w:hyperlink>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60" w:type="dxa"/>
            <w:vAlign w:val="bottom"/>
            <w:tcBorders>
              <w:bottom w:val="single" w:sz="8" w:color="0000EE"/>
            </w:tcBorders>
            <w:gridSpan w:val="27"/>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Proof of Execution or Holding of Securities</w:t>
              </w:r>
            </w:hyperlink>
          </w:p>
        </w:tc>
        <w:tc>
          <w:tcPr>
            <w:tcW w:w="4620" w:type="dxa"/>
            <w:vAlign w:val="bottom"/>
            <w:gridSpan w:val="7"/>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31</w:t>
            </w:r>
          </w:p>
        </w:tc>
      </w:tr>
      <w:tr>
        <w:trPr>
          <w:trHeight w:val="412"/>
        </w:trPr>
        <w:tc>
          <w:tcPr>
            <w:tcW w:w="340" w:type="dxa"/>
            <w:vAlign w:val="bottom"/>
          </w:tcPr>
          <w:p>
            <w:pPr>
              <w:spacing w:after="0"/>
              <w:rPr>
                <w:sz w:val="24"/>
                <w:szCs w:val="24"/>
                <w:color w:val="auto"/>
              </w:rPr>
            </w:pPr>
          </w:p>
        </w:tc>
        <w:tc>
          <w:tcPr>
            <w:tcW w:w="920" w:type="dxa"/>
            <w:vAlign w:val="bottom"/>
            <w:tcBorders>
              <w:bottom w:val="single" w:sz="8" w:color="0000EE"/>
            </w:tcBorders>
          </w:tcPr>
          <w:p>
            <w:pPr>
              <w:spacing w:after="0"/>
              <w:rPr>
                <w:rFonts w:ascii="Arial" w:cs="Arial" w:eastAsia="Arial" w:hAnsi="Arial"/>
                <w:sz w:val="18"/>
                <w:szCs w:val="18"/>
                <w:color w:val="0000EE"/>
                <w:w w:val="87"/>
              </w:rPr>
            </w:pPr>
            <w:hyperlink w:anchor="page57">
              <w:r>
                <w:rPr>
                  <w:rFonts w:ascii="Arial" w:cs="Arial" w:eastAsia="Arial" w:hAnsi="Arial"/>
                  <w:sz w:val="18"/>
                  <w:szCs w:val="18"/>
                  <w:color w:val="0000EE"/>
                  <w:w w:val="87"/>
                </w:rPr>
                <w:t>Section 8.03</w:t>
              </w:r>
            </w:hyperlink>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Persons Deemed Owners</w:t>
              </w:r>
            </w:hyperlink>
          </w:p>
        </w:tc>
        <w:tc>
          <w:tcPr>
            <w:tcW w:w="5920" w:type="dxa"/>
            <w:vAlign w:val="bottom"/>
            <w:gridSpan w:val="17"/>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31</w:t>
            </w:r>
          </w:p>
        </w:tc>
      </w:tr>
      <w:tr>
        <w:trPr>
          <w:trHeight w:val="412"/>
        </w:trPr>
        <w:tc>
          <w:tcPr>
            <w:tcW w:w="340" w:type="dxa"/>
            <w:vAlign w:val="bottom"/>
          </w:tcPr>
          <w:p>
            <w:pPr>
              <w:spacing w:after="0"/>
              <w:rPr>
                <w:sz w:val="24"/>
                <w:szCs w:val="24"/>
                <w:color w:val="auto"/>
              </w:rPr>
            </w:pPr>
          </w:p>
        </w:tc>
        <w:tc>
          <w:tcPr>
            <w:tcW w:w="920" w:type="dxa"/>
            <w:vAlign w:val="bottom"/>
            <w:tcBorders>
              <w:bottom w:val="single" w:sz="8" w:color="0000EE"/>
            </w:tcBorders>
          </w:tcPr>
          <w:p>
            <w:pPr>
              <w:spacing w:after="0"/>
              <w:rPr>
                <w:rFonts w:ascii="Arial" w:cs="Arial" w:eastAsia="Arial" w:hAnsi="Arial"/>
                <w:sz w:val="18"/>
                <w:szCs w:val="18"/>
                <w:color w:val="0000EE"/>
                <w:w w:val="87"/>
              </w:rPr>
            </w:pPr>
            <w:hyperlink w:anchor="page57">
              <w:r>
                <w:rPr>
                  <w:rFonts w:ascii="Arial" w:cs="Arial" w:eastAsia="Arial" w:hAnsi="Arial"/>
                  <w:sz w:val="18"/>
                  <w:szCs w:val="18"/>
                  <w:color w:val="0000EE"/>
                  <w:w w:val="87"/>
                </w:rPr>
                <w:t>Section 8.04</w:t>
              </w:r>
            </w:hyperlink>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Effect of Consents</w:t>
              </w:r>
            </w:hyperlink>
          </w:p>
        </w:tc>
        <w:tc>
          <w:tcPr>
            <w:tcW w:w="6420" w:type="dxa"/>
            <w:vAlign w:val="bottom"/>
            <w:gridSpan w:val="28"/>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31</w:t>
            </w:r>
          </w:p>
        </w:tc>
      </w:tr>
      <w:tr>
        <w:trPr>
          <w:trHeight w:val="412"/>
        </w:trPr>
        <w:tc>
          <w:tcPr>
            <w:tcW w:w="4000" w:type="dxa"/>
            <w:vAlign w:val="bottom"/>
            <w:tcBorders>
              <w:bottom w:val="single" w:sz="8" w:color="0000EE"/>
            </w:tcBorders>
            <w:gridSpan w:val="24"/>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ARTICLE IX SECURITYHOLDERS’ MEETINGS</w:t>
              </w:r>
            </w:hyperlink>
          </w:p>
        </w:tc>
        <w:tc>
          <w:tcPr>
            <w:tcW w:w="5660" w:type="dxa"/>
            <w:vAlign w:val="bottom"/>
            <w:gridSpan w:val="14"/>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412"/>
        </w:trPr>
        <w:tc>
          <w:tcPr>
            <w:tcW w:w="340" w:type="dxa"/>
            <w:vAlign w:val="bottom"/>
          </w:tcPr>
          <w:p>
            <w:pPr>
              <w:spacing w:after="0"/>
              <w:rPr>
                <w:sz w:val="24"/>
                <w:szCs w:val="24"/>
                <w:color w:val="auto"/>
              </w:rPr>
            </w:pPr>
          </w:p>
        </w:tc>
        <w:tc>
          <w:tcPr>
            <w:tcW w:w="980" w:type="dxa"/>
            <w:vAlign w:val="bottom"/>
            <w:gridSpan w:val="2"/>
          </w:tcPr>
          <w:p>
            <w:pPr>
              <w:spacing w:after="0"/>
              <w:rPr>
                <w:rFonts w:ascii="Arial" w:cs="Arial" w:eastAsia="Arial" w:hAnsi="Arial"/>
                <w:sz w:val="18"/>
                <w:szCs w:val="18"/>
                <w:color w:val="0000EE"/>
                <w:w w:val="95"/>
              </w:rPr>
            </w:pPr>
            <w:hyperlink w:anchor="page58">
              <w:r>
                <w:rPr>
                  <w:rFonts w:ascii="Arial" w:cs="Arial" w:eastAsia="Arial" w:hAnsi="Arial"/>
                  <w:sz w:val="18"/>
                  <w:szCs w:val="18"/>
                  <w:color w:val="0000EE"/>
                  <w:w w:val="95"/>
                </w:rPr>
                <w:t>Section 9.01</w:t>
              </w:r>
            </w:hyperlink>
          </w:p>
        </w:tc>
        <w:tc>
          <w:tcPr>
            <w:tcW w:w="560" w:type="dxa"/>
            <w:vAlign w:val="bottom"/>
          </w:tcPr>
          <w:p>
            <w:pPr>
              <w:spacing w:after="0"/>
              <w:rPr>
                <w:sz w:val="24"/>
                <w:szCs w:val="24"/>
                <w:color w:val="auto"/>
              </w:rPr>
            </w:pPr>
          </w:p>
        </w:tc>
        <w:tc>
          <w:tcPr>
            <w:tcW w:w="7780" w:type="dxa"/>
            <w:vAlign w:val="bottom"/>
            <w:gridSpan w:val="3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Purposes of Meetings</w:t>
              </w:r>
            </w:hyperlink>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20"/>
        </w:trPr>
        <w:tc>
          <w:tcPr>
            <w:tcW w:w="3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920" w:type="dxa"/>
            <w:vAlign w:val="bottom"/>
            <w:tcBorders>
              <w:bottom w:val="single" w:sz="8" w:color="0000EE"/>
            </w:tcBorders>
          </w:tcPr>
          <w:p>
            <w:pPr>
              <w:spacing w:after="0"/>
              <w:rPr>
                <w:rFonts w:ascii="Arial" w:cs="Arial" w:eastAsia="Arial" w:hAnsi="Arial"/>
                <w:sz w:val="18"/>
                <w:szCs w:val="18"/>
                <w:color w:val="0000EE"/>
                <w:w w:val="87"/>
              </w:rPr>
            </w:pPr>
            <w:hyperlink w:anchor="page58">
              <w:r>
                <w:rPr>
                  <w:rFonts w:ascii="Arial" w:cs="Arial" w:eastAsia="Arial" w:hAnsi="Arial"/>
                  <w:sz w:val="18"/>
                  <w:szCs w:val="18"/>
                  <w:color w:val="0000EE"/>
                  <w:w w:val="87"/>
                </w:rPr>
                <w:t>Section 9.02</w:t>
              </w:r>
            </w:hyperlink>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Call of Meetings by Trustee</w:t>
              </w:r>
            </w:hyperlink>
          </w:p>
        </w:tc>
        <w:tc>
          <w:tcPr>
            <w:tcW w:w="5760" w:type="dxa"/>
            <w:vAlign w:val="bottom"/>
            <w:gridSpan w:val="15"/>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412"/>
        </w:trPr>
        <w:tc>
          <w:tcPr>
            <w:tcW w:w="340" w:type="dxa"/>
            <w:vAlign w:val="bottom"/>
          </w:tcPr>
          <w:p>
            <w:pPr>
              <w:spacing w:after="0"/>
              <w:rPr>
                <w:sz w:val="24"/>
                <w:szCs w:val="24"/>
                <w:color w:val="auto"/>
              </w:rPr>
            </w:pPr>
          </w:p>
        </w:tc>
        <w:tc>
          <w:tcPr>
            <w:tcW w:w="98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58">
              <w:r>
                <w:rPr>
                  <w:rFonts w:ascii="Arial" w:cs="Arial" w:eastAsia="Arial" w:hAnsi="Arial"/>
                  <w:sz w:val="18"/>
                  <w:szCs w:val="18"/>
                  <w:color w:val="0000EE"/>
                  <w:w w:val="95"/>
                </w:rPr>
                <w:t>Section 9.03</w:t>
              </w:r>
            </w:hyperlink>
          </w:p>
        </w:tc>
        <w:tc>
          <w:tcPr>
            <w:tcW w:w="560" w:type="dxa"/>
            <w:vAlign w:val="bottom"/>
          </w:tcPr>
          <w:p>
            <w:pPr>
              <w:spacing w:after="0"/>
              <w:rPr>
                <w:sz w:val="24"/>
                <w:szCs w:val="24"/>
                <w:color w:val="auto"/>
              </w:rPr>
            </w:pPr>
          </w:p>
        </w:tc>
        <w:tc>
          <w:tcPr>
            <w:tcW w:w="3560" w:type="dxa"/>
            <w:vAlign w:val="bottom"/>
            <w:tcBorders>
              <w:bottom w:val="single" w:sz="8" w:color="0000EE"/>
            </w:tcBorders>
            <w:gridSpan w:val="30"/>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Call of Meetings by Company or Securityholders</w:t>
              </w:r>
            </w:hyperlink>
          </w:p>
        </w:tc>
        <w:tc>
          <w:tcPr>
            <w:tcW w:w="4220" w:type="dxa"/>
            <w:vAlign w:val="bottom"/>
            <w:gridSpan w:val="4"/>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412"/>
        </w:trPr>
        <w:tc>
          <w:tcPr>
            <w:tcW w:w="340" w:type="dxa"/>
            <w:vAlign w:val="bottom"/>
          </w:tcPr>
          <w:p>
            <w:pPr>
              <w:spacing w:after="0"/>
              <w:rPr>
                <w:sz w:val="24"/>
                <w:szCs w:val="24"/>
                <w:color w:val="auto"/>
              </w:rPr>
            </w:pPr>
          </w:p>
        </w:tc>
        <w:tc>
          <w:tcPr>
            <w:tcW w:w="920" w:type="dxa"/>
            <w:vAlign w:val="bottom"/>
            <w:tcBorders>
              <w:bottom w:val="single" w:sz="8" w:color="0000EE"/>
            </w:tcBorders>
          </w:tcPr>
          <w:p>
            <w:pPr>
              <w:spacing w:after="0"/>
              <w:rPr>
                <w:rFonts w:ascii="Arial" w:cs="Arial" w:eastAsia="Arial" w:hAnsi="Arial"/>
                <w:sz w:val="18"/>
                <w:szCs w:val="18"/>
                <w:color w:val="0000EE"/>
                <w:w w:val="87"/>
              </w:rPr>
            </w:pPr>
            <w:hyperlink w:anchor="page58">
              <w:r>
                <w:rPr>
                  <w:rFonts w:ascii="Arial" w:cs="Arial" w:eastAsia="Arial" w:hAnsi="Arial"/>
                  <w:sz w:val="18"/>
                  <w:szCs w:val="18"/>
                  <w:color w:val="0000EE"/>
                  <w:w w:val="87"/>
                </w:rPr>
                <w:t>Section 9.04</w:t>
              </w:r>
            </w:hyperlink>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58">
              <w:r>
                <w:rPr>
                  <w:rFonts w:ascii="Arial" w:cs="Arial" w:eastAsia="Arial" w:hAnsi="Arial"/>
                  <w:sz w:val="18"/>
                  <w:szCs w:val="18"/>
                  <w:color w:val="0000EE"/>
                  <w:w w:val="95"/>
                </w:rPr>
                <w:t>Qualifications for Voting</w:t>
              </w:r>
            </w:hyperlink>
          </w:p>
        </w:tc>
        <w:tc>
          <w:tcPr>
            <w:tcW w:w="5940" w:type="dxa"/>
            <w:vAlign w:val="bottom"/>
            <w:gridSpan w:val="18"/>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412"/>
        </w:trPr>
        <w:tc>
          <w:tcPr>
            <w:tcW w:w="340" w:type="dxa"/>
            <w:vAlign w:val="bottom"/>
          </w:tcPr>
          <w:p>
            <w:pPr>
              <w:spacing w:after="0"/>
              <w:rPr>
                <w:sz w:val="24"/>
                <w:szCs w:val="24"/>
                <w:color w:val="auto"/>
              </w:rPr>
            </w:pPr>
          </w:p>
        </w:tc>
        <w:tc>
          <w:tcPr>
            <w:tcW w:w="920" w:type="dxa"/>
            <w:vAlign w:val="bottom"/>
          </w:tcPr>
          <w:p>
            <w:pPr>
              <w:spacing w:after="0"/>
              <w:rPr>
                <w:rFonts w:ascii="Arial" w:cs="Arial" w:eastAsia="Arial" w:hAnsi="Arial"/>
                <w:sz w:val="18"/>
                <w:szCs w:val="18"/>
                <w:color w:val="0000EE"/>
                <w:w w:val="87"/>
              </w:rPr>
            </w:pPr>
            <w:hyperlink w:anchor="page58">
              <w:r>
                <w:rPr>
                  <w:rFonts w:ascii="Arial" w:cs="Arial" w:eastAsia="Arial" w:hAnsi="Arial"/>
                  <w:sz w:val="18"/>
                  <w:szCs w:val="18"/>
                  <w:color w:val="0000EE"/>
                  <w:w w:val="87"/>
                </w:rPr>
                <w:t>Section 9.05</w:t>
              </w:r>
            </w:hyperlink>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780" w:type="dxa"/>
            <w:vAlign w:val="bottom"/>
            <w:gridSpan w:val="3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Regulation of Meetings</w:t>
              </w:r>
            </w:hyperlink>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412"/>
        </w:trPr>
        <w:tc>
          <w:tcPr>
            <w:tcW w:w="340" w:type="dxa"/>
            <w:vAlign w:val="bottom"/>
          </w:tcPr>
          <w:p>
            <w:pPr>
              <w:spacing w:after="0"/>
              <w:rPr>
                <w:sz w:val="24"/>
                <w:szCs w:val="24"/>
                <w:color w:val="auto"/>
              </w:rPr>
            </w:pPr>
          </w:p>
        </w:tc>
        <w:tc>
          <w:tcPr>
            <w:tcW w:w="920" w:type="dxa"/>
            <w:vAlign w:val="bottom"/>
            <w:tcBorders>
              <w:top w:val="single" w:sz="8" w:color="0000EE"/>
            </w:tcBorders>
          </w:tcPr>
          <w:p>
            <w:pPr>
              <w:spacing w:after="0"/>
              <w:rPr>
                <w:rFonts w:ascii="Arial" w:cs="Arial" w:eastAsia="Arial" w:hAnsi="Arial"/>
                <w:sz w:val="18"/>
                <w:szCs w:val="18"/>
                <w:color w:val="0000EE"/>
                <w:w w:val="87"/>
              </w:rPr>
            </w:pPr>
            <w:hyperlink w:anchor="page59">
              <w:r>
                <w:rPr>
                  <w:rFonts w:ascii="Arial" w:cs="Arial" w:eastAsia="Arial" w:hAnsi="Arial"/>
                  <w:sz w:val="18"/>
                  <w:szCs w:val="18"/>
                  <w:color w:val="0000EE"/>
                  <w:w w:val="87"/>
                </w:rPr>
                <w:t>Section 9.06</w:t>
              </w:r>
            </w:hyperlink>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Borders>
              <w:top w:val="single" w:sz="8" w:color="0000EE"/>
            </w:tcBorders>
            <w:gridSpan w:val="1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Voting</w:t>
              </w:r>
            </w:hyperlink>
          </w:p>
        </w:tc>
        <w:tc>
          <w:tcPr>
            <w:tcW w:w="6080" w:type="dxa"/>
            <w:vAlign w:val="bottom"/>
            <w:gridSpan w:val="21"/>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33</w:t>
            </w:r>
          </w:p>
        </w:tc>
      </w:tr>
      <w:tr>
        <w:trPr>
          <w:trHeight w:val="20"/>
        </w:trPr>
        <w:tc>
          <w:tcPr>
            <w:tcW w:w="3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920" w:type="dxa"/>
            <w:vAlign w:val="bottom"/>
            <w:tcBorders>
              <w:bottom w:val="single" w:sz="8" w:color="0000EE"/>
            </w:tcBorders>
          </w:tcPr>
          <w:p>
            <w:pPr>
              <w:spacing w:after="0"/>
              <w:rPr>
                <w:rFonts w:ascii="Arial" w:cs="Arial" w:eastAsia="Arial" w:hAnsi="Arial"/>
                <w:sz w:val="18"/>
                <w:szCs w:val="18"/>
                <w:color w:val="0000EE"/>
                <w:w w:val="87"/>
              </w:rPr>
            </w:pPr>
            <w:hyperlink w:anchor="page59">
              <w:r>
                <w:rPr>
                  <w:rFonts w:ascii="Arial" w:cs="Arial" w:eastAsia="Arial" w:hAnsi="Arial"/>
                  <w:sz w:val="18"/>
                  <w:szCs w:val="18"/>
                  <w:color w:val="0000EE"/>
                  <w:w w:val="87"/>
                </w:rPr>
                <w:t>Section 9.07</w:t>
              </w:r>
            </w:hyperlink>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80" w:type="dxa"/>
            <w:vAlign w:val="bottom"/>
            <w:tcBorders>
              <w:bottom w:val="single" w:sz="8" w:color="0000EE"/>
            </w:tcBorders>
            <w:gridSpan w:val="21"/>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No Delay of Rights by Meeting</w:t>
              </w:r>
            </w:hyperlink>
          </w:p>
        </w:tc>
        <w:tc>
          <w:tcPr>
            <w:tcW w:w="5500" w:type="dxa"/>
            <w:vAlign w:val="bottom"/>
            <w:gridSpan w:val="13"/>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33</w:t>
            </w:r>
          </w:p>
        </w:tc>
      </w:tr>
      <w:tr>
        <w:trPr>
          <w:trHeight w:val="412"/>
        </w:trPr>
        <w:tc>
          <w:tcPr>
            <w:tcW w:w="9660" w:type="dxa"/>
            <w:vAlign w:val="bottom"/>
            <w:gridSpan w:val="38"/>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ARTICLE X REPORTS BY THE COMPANY AND THE TRUSTEE AND SECURITYHOLDERS’ LISTS</w:t>
              </w:r>
            </w:hyperlink>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33</w:t>
            </w:r>
          </w:p>
        </w:tc>
      </w:tr>
      <w:tr>
        <w:trPr>
          <w:trHeight w:val="412"/>
        </w:trPr>
        <w:tc>
          <w:tcPr>
            <w:tcW w:w="3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gridSpan w:val="2"/>
          </w:tcPr>
          <w:p>
            <w:pPr>
              <w:spacing w:after="0"/>
              <w:rPr>
                <w:rFonts w:ascii="Arial" w:cs="Arial" w:eastAsia="Arial" w:hAnsi="Arial"/>
                <w:sz w:val="18"/>
                <w:szCs w:val="18"/>
                <w:color w:val="0000EE"/>
                <w:w w:val="87"/>
              </w:rPr>
            </w:pPr>
            <w:hyperlink w:anchor="page59">
              <w:r>
                <w:rPr>
                  <w:rFonts w:ascii="Arial" w:cs="Arial" w:eastAsia="Arial" w:hAnsi="Arial"/>
                  <w:sz w:val="18"/>
                  <w:szCs w:val="18"/>
                  <w:color w:val="0000EE"/>
                  <w:w w:val="87"/>
                </w:rPr>
                <w:t>Section 10.01</w:t>
              </w:r>
            </w:hyperlink>
          </w:p>
        </w:tc>
        <w:tc>
          <w:tcPr>
            <w:tcW w:w="560" w:type="dxa"/>
            <w:vAlign w:val="bottom"/>
            <w:tcBorders>
              <w:top w:val="single" w:sz="8" w:color="0000EE"/>
            </w:tcBorders>
          </w:tcPr>
          <w:p>
            <w:pPr>
              <w:spacing w:after="0"/>
              <w:rPr>
                <w:sz w:val="24"/>
                <w:szCs w:val="24"/>
                <w:color w:val="auto"/>
              </w:rPr>
            </w:pPr>
          </w:p>
        </w:tc>
        <w:tc>
          <w:tcPr>
            <w:tcW w:w="6320" w:type="dxa"/>
            <w:vAlign w:val="bottom"/>
            <w:tcBorders>
              <w:top w:val="single" w:sz="8" w:color="0000EE"/>
            </w:tcBorders>
            <w:gridSpan w:val="3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Reports by Trustee</w:t>
              </w:r>
            </w:hyperlink>
          </w:p>
        </w:tc>
        <w:tc>
          <w:tcPr>
            <w:tcW w:w="1460" w:type="dxa"/>
            <w:vAlign w:val="bottom"/>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33</w:t>
            </w:r>
          </w:p>
        </w:tc>
      </w:tr>
      <w:tr>
        <w:trPr>
          <w:trHeight w:val="20"/>
        </w:trPr>
        <w:tc>
          <w:tcPr>
            <w:tcW w:w="3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560" w:type="dxa"/>
            <w:vAlign w:val="bottom"/>
            <w:gridSpan w:val="11"/>
          </w:tcPr>
          <w:p>
            <w:pPr>
              <w:spacing w:after="0" w:line="20" w:lineRule="exact"/>
              <w:rPr>
                <w:sz w:val="1"/>
                <w:szCs w:val="1"/>
                <w:color w:val="auto"/>
              </w:rPr>
            </w:pPr>
          </w:p>
        </w:tc>
        <w:tc>
          <w:tcPr>
            <w:tcW w:w="424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98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0">
              <w:r>
                <w:rPr>
                  <w:rFonts w:ascii="Arial" w:cs="Arial" w:eastAsia="Arial" w:hAnsi="Arial"/>
                  <w:sz w:val="18"/>
                  <w:szCs w:val="18"/>
                  <w:color w:val="0000EE"/>
                  <w:w w:val="87"/>
                </w:rPr>
                <w:t>Section 10.02</w:t>
              </w:r>
            </w:hyperlink>
          </w:p>
        </w:tc>
        <w:tc>
          <w:tcPr>
            <w:tcW w:w="560" w:type="dxa"/>
            <w:vAlign w:val="bottom"/>
          </w:tcPr>
          <w:p>
            <w:pPr>
              <w:spacing w:after="0"/>
              <w:rPr>
                <w:sz w:val="24"/>
                <w:szCs w:val="24"/>
                <w:color w:val="auto"/>
              </w:rPr>
            </w:pPr>
          </w:p>
        </w:tc>
        <w:tc>
          <w:tcPr>
            <w:tcW w:w="18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Reports by the Company</w:t>
              </w:r>
            </w:hyperlink>
          </w:p>
        </w:tc>
        <w:tc>
          <w:tcPr>
            <w:tcW w:w="5960" w:type="dxa"/>
            <w:vAlign w:val="bottom"/>
            <w:gridSpan w:val="19"/>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34</w:t>
            </w:r>
          </w:p>
        </w:tc>
      </w:tr>
      <w:tr>
        <w:trPr>
          <w:trHeight w:val="412"/>
        </w:trPr>
        <w:tc>
          <w:tcPr>
            <w:tcW w:w="340" w:type="dxa"/>
            <w:vAlign w:val="bottom"/>
          </w:tcPr>
          <w:p>
            <w:pPr>
              <w:spacing w:after="0"/>
              <w:rPr>
                <w:sz w:val="24"/>
                <w:szCs w:val="24"/>
                <w:color w:val="auto"/>
              </w:rPr>
            </w:pPr>
          </w:p>
        </w:tc>
        <w:tc>
          <w:tcPr>
            <w:tcW w:w="98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0">
              <w:r>
                <w:rPr>
                  <w:rFonts w:ascii="Arial" w:cs="Arial" w:eastAsia="Arial" w:hAnsi="Arial"/>
                  <w:sz w:val="18"/>
                  <w:szCs w:val="18"/>
                  <w:color w:val="0000EE"/>
                  <w:w w:val="87"/>
                </w:rPr>
                <w:t>Section 10.03</w:t>
              </w:r>
            </w:hyperlink>
          </w:p>
        </w:tc>
        <w:tc>
          <w:tcPr>
            <w:tcW w:w="560" w:type="dxa"/>
            <w:vAlign w:val="bottom"/>
          </w:tcPr>
          <w:p>
            <w:pPr>
              <w:spacing w:after="0"/>
              <w:rPr>
                <w:sz w:val="24"/>
                <w:szCs w:val="24"/>
                <w:color w:val="auto"/>
              </w:rPr>
            </w:pPr>
          </w:p>
        </w:tc>
        <w:tc>
          <w:tcPr>
            <w:tcW w:w="158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Securityholders’ Lists</w:t>
              </w:r>
            </w:hyperlink>
          </w:p>
        </w:tc>
        <w:tc>
          <w:tcPr>
            <w:tcW w:w="6200" w:type="dxa"/>
            <w:vAlign w:val="bottom"/>
            <w:gridSpan w:val="25"/>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34</w:t>
            </w:r>
          </w:p>
        </w:tc>
      </w:tr>
      <w:tr>
        <w:trPr>
          <w:trHeight w:val="412"/>
        </w:trPr>
        <w:tc>
          <w:tcPr>
            <w:tcW w:w="3680" w:type="dxa"/>
            <w:vAlign w:val="bottom"/>
            <w:tcBorders>
              <w:bottom w:val="single" w:sz="8" w:color="0000EE"/>
            </w:tcBorders>
            <w:gridSpan w:val="18"/>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ARTICLE XI CONCERNING THE TRUSTEE</w:t>
              </w:r>
            </w:hyperlink>
          </w:p>
        </w:tc>
        <w:tc>
          <w:tcPr>
            <w:tcW w:w="5980" w:type="dxa"/>
            <w:vAlign w:val="bottom"/>
            <w:gridSpan w:val="20"/>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34</w:t>
            </w:r>
          </w:p>
        </w:tc>
      </w:tr>
      <w:tr>
        <w:trPr>
          <w:trHeight w:val="412"/>
        </w:trPr>
        <w:tc>
          <w:tcPr>
            <w:tcW w:w="340" w:type="dxa"/>
            <w:vAlign w:val="bottom"/>
          </w:tcPr>
          <w:p>
            <w:pPr>
              <w:spacing w:after="0"/>
              <w:rPr>
                <w:sz w:val="24"/>
                <w:szCs w:val="24"/>
                <w:color w:val="auto"/>
              </w:rPr>
            </w:pPr>
          </w:p>
        </w:tc>
        <w:tc>
          <w:tcPr>
            <w:tcW w:w="980" w:type="dxa"/>
            <w:vAlign w:val="bottom"/>
            <w:gridSpan w:val="2"/>
          </w:tcPr>
          <w:p>
            <w:pPr>
              <w:spacing w:after="0"/>
              <w:rPr>
                <w:rFonts w:ascii="Arial" w:cs="Arial" w:eastAsia="Arial" w:hAnsi="Arial"/>
                <w:sz w:val="18"/>
                <w:szCs w:val="18"/>
                <w:color w:val="0000EE"/>
                <w:w w:val="87"/>
              </w:rPr>
            </w:pPr>
            <w:hyperlink w:anchor="page60">
              <w:r>
                <w:rPr>
                  <w:rFonts w:ascii="Arial" w:cs="Arial" w:eastAsia="Arial" w:hAnsi="Arial"/>
                  <w:sz w:val="18"/>
                  <w:szCs w:val="18"/>
                  <w:color w:val="0000EE"/>
                  <w:w w:val="87"/>
                </w:rPr>
                <w:t>Section 11.01</w:t>
              </w:r>
            </w:hyperlink>
          </w:p>
        </w:tc>
        <w:tc>
          <w:tcPr>
            <w:tcW w:w="560" w:type="dxa"/>
            <w:vAlign w:val="bottom"/>
          </w:tcPr>
          <w:p>
            <w:pPr>
              <w:spacing w:after="0"/>
              <w:rPr>
                <w:sz w:val="24"/>
                <w:szCs w:val="24"/>
                <w:color w:val="auto"/>
              </w:rPr>
            </w:pPr>
          </w:p>
        </w:tc>
        <w:tc>
          <w:tcPr>
            <w:tcW w:w="7780" w:type="dxa"/>
            <w:vAlign w:val="bottom"/>
            <w:gridSpan w:val="34"/>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Rights of Trustees; Compensation and Indemnity</w:t>
              </w:r>
            </w:hyperlink>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34</w:t>
            </w:r>
          </w:p>
        </w:tc>
      </w:tr>
      <w:tr>
        <w:trPr>
          <w:trHeight w:val="412"/>
        </w:trPr>
        <w:tc>
          <w:tcPr>
            <w:tcW w:w="340" w:type="dxa"/>
            <w:vAlign w:val="bottom"/>
          </w:tcPr>
          <w:p>
            <w:pPr>
              <w:spacing w:after="0"/>
              <w:rPr>
                <w:sz w:val="24"/>
                <w:szCs w:val="24"/>
                <w:color w:val="auto"/>
              </w:rPr>
            </w:pPr>
          </w:p>
        </w:tc>
        <w:tc>
          <w:tcPr>
            <w:tcW w:w="980" w:type="dxa"/>
            <w:vAlign w:val="bottom"/>
            <w:tcBorders>
              <w:top w:val="single" w:sz="8" w:color="0000EE"/>
            </w:tcBorders>
            <w:gridSpan w:val="2"/>
          </w:tcPr>
          <w:p>
            <w:pPr>
              <w:spacing w:after="0"/>
              <w:rPr>
                <w:rFonts w:ascii="Arial" w:cs="Arial" w:eastAsia="Arial" w:hAnsi="Arial"/>
                <w:sz w:val="18"/>
                <w:szCs w:val="18"/>
                <w:color w:val="0000EE"/>
                <w:w w:val="87"/>
              </w:rPr>
            </w:pPr>
            <w:hyperlink w:anchor="page62">
              <w:r>
                <w:rPr>
                  <w:rFonts w:ascii="Arial" w:cs="Arial" w:eastAsia="Arial" w:hAnsi="Arial"/>
                  <w:sz w:val="18"/>
                  <w:szCs w:val="18"/>
                  <w:color w:val="0000EE"/>
                  <w:w w:val="87"/>
                </w:rPr>
                <w:t>Section 11.02</w:t>
              </w:r>
            </w:hyperlink>
          </w:p>
        </w:tc>
        <w:tc>
          <w:tcPr>
            <w:tcW w:w="560" w:type="dxa"/>
            <w:vAlign w:val="bottom"/>
          </w:tcPr>
          <w:p>
            <w:pPr>
              <w:spacing w:after="0"/>
              <w:rPr>
                <w:sz w:val="24"/>
                <w:szCs w:val="24"/>
                <w:color w:val="auto"/>
              </w:rPr>
            </w:pPr>
          </w:p>
        </w:tc>
        <w:tc>
          <w:tcPr>
            <w:tcW w:w="3540" w:type="dxa"/>
            <w:vAlign w:val="bottom"/>
            <w:tcBorders>
              <w:top w:val="single" w:sz="8" w:color="0000EE"/>
            </w:tcBorders>
            <w:gridSpan w:val="2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Duties of Trustee</w:t>
              </w:r>
            </w:hyperlink>
          </w:p>
        </w:tc>
        <w:tc>
          <w:tcPr>
            <w:tcW w:w="4240" w:type="dxa"/>
            <w:vAlign w:val="bottom"/>
            <w:gridSpan w:val="5"/>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36</w:t>
            </w:r>
          </w:p>
        </w:tc>
      </w:tr>
      <w:tr>
        <w:trPr>
          <w:trHeight w:val="20"/>
        </w:trPr>
        <w:tc>
          <w:tcPr>
            <w:tcW w:w="3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gridSpan w:val="12"/>
          </w:tcPr>
          <w:p>
            <w:pPr>
              <w:spacing w:after="0" w:line="20" w:lineRule="exact"/>
              <w:rPr>
                <w:sz w:val="1"/>
                <w:szCs w:val="1"/>
                <w:color w:val="auto"/>
              </w:rPr>
            </w:pPr>
          </w:p>
        </w:tc>
        <w:tc>
          <w:tcPr>
            <w:tcW w:w="5800" w:type="dxa"/>
            <w:vAlign w:val="bottom"/>
            <w:gridSpan w:val="16"/>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98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3">
              <w:r>
                <w:rPr>
                  <w:rFonts w:ascii="Arial" w:cs="Arial" w:eastAsia="Arial" w:hAnsi="Arial"/>
                  <w:sz w:val="18"/>
                  <w:szCs w:val="18"/>
                  <w:color w:val="0000EE"/>
                  <w:w w:val="87"/>
                </w:rPr>
                <w:t>Section 11.03</w:t>
              </w:r>
            </w:hyperlink>
          </w:p>
        </w:tc>
        <w:tc>
          <w:tcPr>
            <w:tcW w:w="560" w:type="dxa"/>
            <w:vAlign w:val="bottom"/>
          </w:tcPr>
          <w:p>
            <w:pPr>
              <w:spacing w:after="0"/>
              <w:rPr>
                <w:sz w:val="24"/>
                <w:szCs w:val="24"/>
                <w:color w:val="auto"/>
              </w:rPr>
            </w:pPr>
          </w:p>
        </w:tc>
        <w:tc>
          <w:tcPr>
            <w:tcW w:w="13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Notice of Defaults</w:t>
              </w:r>
            </w:hyperlink>
          </w:p>
        </w:tc>
        <w:tc>
          <w:tcPr>
            <w:tcW w:w="6420" w:type="dxa"/>
            <w:vAlign w:val="bottom"/>
            <w:gridSpan w:val="28"/>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412"/>
        </w:trPr>
        <w:tc>
          <w:tcPr>
            <w:tcW w:w="340" w:type="dxa"/>
            <w:vAlign w:val="bottom"/>
          </w:tcPr>
          <w:p>
            <w:pPr>
              <w:spacing w:after="0"/>
              <w:rPr>
                <w:sz w:val="24"/>
                <w:szCs w:val="24"/>
                <w:color w:val="auto"/>
              </w:rPr>
            </w:pPr>
          </w:p>
        </w:tc>
        <w:tc>
          <w:tcPr>
            <w:tcW w:w="980" w:type="dxa"/>
            <w:vAlign w:val="bottom"/>
            <w:gridSpan w:val="2"/>
          </w:tcPr>
          <w:p>
            <w:pPr>
              <w:spacing w:after="0"/>
              <w:rPr>
                <w:rFonts w:ascii="Arial" w:cs="Arial" w:eastAsia="Arial" w:hAnsi="Arial"/>
                <w:sz w:val="18"/>
                <w:szCs w:val="18"/>
                <w:color w:val="0000EE"/>
                <w:w w:val="87"/>
              </w:rPr>
            </w:pPr>
            <w:hyperlink w:anchor="page63">
              <w:r>
                <w:rPr>
                  <w:rFonts w:ascii="Arial" w:cs="Arial" w:eastAsia="Arial" w:hAnsi="Arial"/>
                  <w:sz w:val="18"/>
                  <w:szCs w:val="18"/>
                  <w:color w:val="0000EE"/>
                  <w:w w:val="87"/>
                </w:rPr>
                <w:t>Section 11.04</w:t>
              </w:r>
            </w:hyperlink>
          </w:p>
        </w:tc>
        <w:tc>
          <w:tcPr>
            <w:tcW w:w="8340" w:type="dxa"/>
            <w:vAlign w:val="bottom"/>
            <w:gridSpan w:val="35"/>
          </w:tcPr>
          <w:p>
            <w:pPr>
              <w:ind w:left="560"/>
              <w:spacing w:after="0"/>
              <w:rPr>
                <w:rFonts w:ascii="Arial" w:cs="Arial" w:eastAsia="Arial" w:hAnsi="Arial"/>
                <w:sz w:val="18"/>
                <w:szCs w:val="18"/>
                <w:color w:val="0000EE"/>
              </w:rPr>
            </w:pPr>
            <w:hyperlink w:anchor="page63">
              <w:r>
                <w:rPr>
                  <w:rFonts w:ascii="Arial" w:cs="Arial" w:eastAsia="Arial" w:hAnsi="Arial"/>
                  <w:sz w:val="18"/>
                  <w:szCs w:val="18"/>
                  <w:color w:val="0000EE"/>
                </w:rPr>
                <w:t>Eligibility; Disqualification</w:t>
              </w:r>
            </w:hyperlink>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628"/>
        </w:trPr>
        <w:tc>
          <w:tcPr>
            <w:tcW w:w="340" w:type="dxa"/>
            <w:vAlign w:val="bottom"/>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ii</w:t>
            </w:r>
          </w:p>
        </w:tc>
        <w:tc>
          <w:tcPr>
            <w:tcW w:w="1760" w:type="dxa"/>
            <w:vAlign w:val="bottom"/>
          </w:tcPr>
          <w:p>
            <w:pPr>
              <w:spacing w:after="0"/>
              <w:rPr>
                <w:sz w:val="24"/>
                <w:szCs w:val="24"/>
                <w:color w:val="auto"/>
              </w:rPr>
            </w:pPr>
          </w:p>
        </w:tc>
      </w:tr>
      <w:tr>
        <w:trPr>
          <w:trHeight w:val="108"/>
        </w:trPr>
        <w:tc>
          <w:tcPr>
            <w:tcW w:w="3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00" w:right="2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960" w:type="dxa"/>
            <w:vAlign w:val="bottom"/>
            <w:tcBorders>
              <w:bottom w:val="single" w:sz="8" w:color="0000EE"/>
            </w:tcBorders>
          </w:tcPr>
          <w:p>
            <w:pPr>
              <w:spacing w:after="0"/>
              <w:rPr>
                <w:rFonts w:ascii="Arial" w:cs="Arial" w:eastAsia="Arial" w:hAnsi="Arial"/>
                <w:sz w:val="18"/>
                <w:szCs w:val="18"/>
                <w:color w:val="0000EE"/>
                <w:w w:val="83"/>
              </w:rPr>
            </w:pPr>
            <w:hyperlink w:anchor="page63">
              <w:r>
                <w:rPr>
                  <w:rFonts w:ascii="Arial" w:cs="Arial" w:eastAsia="Arial" w:hAnsi="Arial"/>
                  <w:sz w:val="18"/>
                  <w:szCs w:val="18"/>
                  <w:color w:val="0000EE"/>
                  <w:w w:val="83"/>
                </w:rPr>
                <w:t>Section 11.05</w:t>
              </w:r>
            </w:hyperlink>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Registration and Notice; Removal</w:t>
              </w:r>
            </w:hyperlink>
          </w:p>
        </w:tc>
        <w:tc>
          <w:tcPr>
            <w:tcW w:w="4680" w:type="dxa"/>
            <w:vAlign w:val="bottom"/>
            <w:gridSpan w:val="18"/>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2"/>
        </w:trPr>
        <w:tc>
          <w:tcPr>
            <w:tcW w:w="360" w:type="dxa"/>
            <w:vAlign w:val="bottom"/>
          </w:tcPr>
          <w:p>
            <w:pPr>
              <w:spacing w:after="0"/>
              <w:rPr>
                <w:sz w:val="24"/>
                <w:szCs w:val="24"/>
                <w:color w:val="auto"/>
              </w:rPr>
            </w:pPr>
          </w:p>
        </w:tc>
        <w:tc>
          <w:tcPr>
            <w:tcW w:w="960" w:type="dxa"/>
            <w:vAlign w:val="bottom"/>
          </w:tcPr>
          <w:p>
            <w:pPr>
              <w:spacing w:after="0"/>
              <w:rPr>
                <w:rFonts w:ascii="Arial" w:cs="Arial" w:eastAsia="Arial" w:hAnsi="Arial"/>
                <w:sz w:val="18"/>
                <w:szCs w:val="18"/>
                <w:color w:val="0000EE"/>
                <w:w w:val="83"/>
              </w:rPr>
            </w:pPr>
            <w:hyperlink w:anchor="page64">
              <w:r>
                <w:rPr>
                  <w:rFonts w:ascii="Arial" w:cs="Arial" w:eastAsia="Arial" w:hAnsi="Arial"/>
                  <w:sz w:val="18"/>
                  <w:szCs w:val="18"/>
                  <w:color w:val="0000EE"/>
                  <w:w w:val="83"/>
                </w:rPr>
                <w:t>Section 11.06</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40" w:type="dxa"/>
            <w:vAlign w:val="bottom"/>
            <w:gridSpan w:val="3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Successor Trustee by Appointment</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2"/>
        </w:trPr>
        <w:tc>
          <w:tcPr>
            <w:tcW w:w="360" w:type="dxa"/>
            <w:vAlign w:val="bottom"/>
          </w:tcPr>
          <w:p>
            <w:pPr>
              <w:spacing w:after="0"/>
              <w:rPr>
                <w:sz w:val="24"/>
                <w:szCs w:val="24"/>
                <w:color w:val="auto"/>
              </w:rPr>
            </w:pPr>
          </w:p>
        </w:tc>
        <w:tc>
          <w:tcPr>
            <w:tcW w:w="960" w:type="dxa"/>
            <w:vAlign w:val="bottom"/>
            <w:tcBorders>
              <w:top w:val="single" w:sz="8" w:color="0000EE"/>
              <w:bottom w:val="single" w:sz="8" w:color="0000EE"/>
            </w:tcBorders>
          </w:tcPr>
          <w:p>
            <w:pPr>
              <w:spacing w:after="0"/>
              <w:rPr>
                <w:rFonts w:ascii="Arial" w:cs="Arial" w:eastAsia="Arial" w:hAnsi="Arial"/>
                <w:sz w:val="18"/>
                <w:szCs w:val="18"/>
                <w:color w:val="0000EE"/>
                <w:w w:val="83"/>
              </w:rPr>
            </w:pPr>
            <w:hyperlink w:anchor="page65">
              <w:r>
                <w:rPr>
                  <w:rFonts w:ascii="Arial" w:cs="Arial" w:eastAsia="Arial" w:hAnsi="Arial"/>
                  <w:sz w:val="18"/>
                  <w:szCs w:val="18"/>
                  <w:color w:val="0000EE"/>
                  <w:w w:val="83"/>
                </w:rPr>
                <w:t>Section 11.07</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8"/>
              </w:rPr>
            </w:pPr>
            <w:hyperlink w:anchor="page65">
              <w:r>
                <w:rPr>
                  <w:rFonts w:ascii="Arial" w:cs="Arial" w:eastAsia="Arial" w:hAnsi="Arial"/>
                  <w:sz w:val="18"/>
                  <w:szCs w:val="18"/>
                  <w:color w:val="0000EE"/>
                  <w:w w:val="88"/>
                </w:rPr>
                <w:t>Successor Trustee by Merger</w:t>
              </w:r>
            </w:hyperlink>
          </w:p>
        </w:tc>
        <w:tc>
          <w:tcPr>
            <w:tcW w:w="420" w:type="dxa"/>
            <w:vAlign w:val="bottom"/>
            <w:tcBorders>
              <w:top w:val="single" w:sz="8" w:color="0000EE"/>
            </w:tcBorders>
            <w:gridSpan w:val="3"/>
          </w:tcPr>
          <w:p>
            <w:pPr>
              <w:spacing w:after="0"/>
              <w:rPr>
                <w:sz w:val="24"/>
                <w:szCs w:val="24"/>
                <w:color w:val="auto"/>
              </w:rPr>
            </w:pPr>
          </w:p>
        </w:tc>
        <w:tc>
          <w:tcPr>
            <w:tcW w:w="4620" w:type="dxa"/>
            <w:vAlign w:val="bottom"/>
            <w:gridSpan w:val="17"/>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2"/>
        </w:trPr>
        <w:tc>
          <w:tcPr>
            <w:tcW w:w="360" w:type="dxa"/>
            <w:vAlign w:val="bottom"/>
          </w:tcPr>
          <w:p>
            <w:pPr>
              <w:spacing w:after="0"/>
              <w:rPr>
                <w:sz w:val="24"/>
                <w:szCs w:val="24"/>
                <w:color w:val="auto"/>
              </w:rPr>
            </w:pPr>
          </w:p>
        </w:tc>
        <w:tc>
          <w:tcPr>
            <w:tcW w:w="960" w:type="dxa"/>
            <w:vAlign w:val="bottom"/>
            <w:tcBorders>
              <w:bottom w:val="single" w:sz="8" w:color="0000EE"/>
            </w:tcBorders>
          </w:tcPr>
          <w:p>
            <w:pPr>
              <w:spacing w:after="0"/>
              <w:rPr>
                <w:rFonts w:ascii="Arial" w:cs="Arial" w:eastAsia="Arial" w:hAnsi="Arial"/>
                <w:sz w:val="18"/>
                <w:szCs w:val="18"/>
                <w:color w:val="0000EE"/>
                <w:w w:val="83"/>
              </w:rPr>
            </w:pPr>
            <w:hyperlink w:anchor="page65">
              <w:r>
                <w:rPr>
                  <w:rFonts w:ascii="Arial" w:cs="Arial" w:eastAsia="Arial" w:hAnsi="Arial"/>
                  <w:sz w:val="18"/>
                  <w:szCs w:val="18"/>
                  <w:color w:val="0000EE"/>
                  <w:w w:val="83"/>
                </w:rPr>
                <w:t>Section 11.08</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tcBorders>
              <w:bottom w:val="single" w:sz="8" w:color="0000EE"/>
            </w:tcBorders>
            <w:gridSpan w:val="19"/>
          </w:tcPr>
          <w:p>
            <w:pPr>
              <w:spacing w:after="0"/>
              <w:rPr>
                <w:rFonts w:ascii="Arial" w:cs="Arial" w:eastAsia="Arial" w:hAnsi="Arial"/>
                <w:sz w:val="18"/>
                <w:szCs w:val="18"/>
                <w:color w:val="0000EE"/>
                <w:w w:val="93"/>
              </w:rPr>
            </w:pPr>
            <w:hyperlink w:anchor="page65">
              <w:r>
                <w:rPr>
                  <w:rFonts w:ascii="Arial" w:cs="Arial" w:eastAsia="Arial" w:hAnsi="Arial"/>
                  <w:sz w:val="18"/>
                  <w:szCs w:val="18"/>
                  <w:color w:val="0000EE"/>
                  <w:w w:val="93"/>
                </w:rPr>
                <w:t>Right to Rely on Officer’s Certificate</w:t>
              </w:r>
            </w:hyperlink>
          </w:p>
        </w:tc>
        <w:tc>
          <w:tcPr>
            <w:tcW w:w="4440" w:type="dxa"/>
            <w:vAlign w:val="bottom"/>
            <w:gridSpan w:val="14"/>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2"/>
        </w:trPr>
        <w:tc>
          <w:tcPr>
            <w:tcW w:w="360" w:type="dxa"/>
            <w:vAlign w:val="bottom"/>
          </w:tcPr>
          <w:p>
            <w:pPr>
              <w:spacing w:after="0"/>
              <w:rPr>
                <w:sz w:val="24"/>
                <w:szCs w:val="24"/>
                <w:color w:val="auto"/>
              </w:rPr>
            </w:pPr>
          </w:p>
        </w:tc>
        <w:tc>
          <w:tcPr>
            <w:tcW w:w="960" w:type="dxa"/>
            <w:vAlign w:val="bottom"/>
          </w:tcPr>
          <w:p>
            <w:pPr>
              <w:spacing w:after="0"/>
              <w:rPr>
                <w:rFonts w:ascii="Arial" w:cs="Arial" w:eastAsia="Arial" w:hAnsi="Arial"/>
                <w:sz w:val="18"/>
                <w:szCs w:val="18"/>
                <w:color w:val="0000EE"/>
                <w:w w:val="83"/>
              </w:rPr>
            </w:pPr>
            <w:hyperlink w:anchor="page65">
              <w:r>
                <w:rPr>
                  <w:rFonts w:ascii="Arial" w:cs="Arial" w:eastAsia="Arial" w:hAnsi="Arial"/>
                  <w:sz w:val="18"/>
                  <w:szCs w:val="18"/>
                  <w:color w:val="0000EE"/>
                  <w:w w:val="83"/>
                </w:rPr>
                <w:t>Section 11.09</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40" w:type="dxa"/>
            <w:vAlign w:val="bottom"/>
            <w:gridSpan w:val="3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Appointment of Authenticating Agent</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960" w:type="dxa"/>
            <w:vAlign w:val="bottom"/>
          </w:tcPr>
          <w:p>
            <w:pPr>
              <w:spacing w:after="0"/>
              <w:rPr>
                <w:rFonts w:ascii="Arial" w:cs="Arial" w:eastAsia="Arial" w:hAnsi="Arial"/>
                <w:sz w:val="18"/>
                <w:szCs w:val="18"/>
                <w:color w:val="0000EE"/>
                <w:w w:val="83"/>
              </w:rPr>
            </w:pPr>
            <w:hyperlink w:anchor="page66">
              <w:r>
                <w:rPr>
                  <w:rFonts w:ascii="Arial" w:cs="Arial" w:eastAsia="Arial" w:hAnsi="Arial"/>
                  <w:sz w:val="18"/>
                  <w:szCs w:val="18"/>
                  <w:color w:val="0000EE"/>
                  <w:w w:val="83"/>
                </w:rPr>
                <w:t>Section 11.10</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40" w:type="dxa"/>
            <w:vAlign w:val="bottom"/>
            <w:gridSpan w:val="3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Communications by Securityholders with Other Securityholders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2"/>
        </w:trPr>
        <w:tc>
          <w:tcPr>
            <w:tcW w:w="9020" w:type="dxa"/>
            <w:vAlign w:val="bottom"/>
            <w:gridSpan w:val="37"/>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ARTICLE XII SATISFACTION AND DISCHARGE; DEFEASANCE</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2"/>
        </w:trPr>
        <w:tc>
          <w:tcPr>
            <w:tcW w:w="360" w:type="dxa"/>
            <w:vAlign w:val="bottom"/>
            <w:tcBorders>
              <w:top w:val="single" w:sz="8" w:color="0000EE"/>
            </w:tcBorders>
          </w:tcPr>
          <w:p>
            <w:pPr>
              <w:spacing w:after="0"/>
              <w:rPr>
                <w:sz w:val="24"/>
                <w:szCs w:val="24"/>
                <w:color w:val="auto"/>
              </w:rPr>
            </w:pPr>
          </w:p>
        </w:tc>
        <w:tc>
          <w:tcPr>
            <w:tcW w:w="960" w:type="dxa"/>
            <w:vAlign w:val="bottom"/>
            <w:tcBorders>
              <w:top w:val="single" w:sz="8" w:color="0000EE"/>
              <w:bottom w:val="single" w:sz="8" w:color="0000EE"/>
            </w:tcBorders>
          </w:tcPr>
          <w:p>
            <w:pPr>
              <w:spacing w:after="0"/>
              <w:rPr>
                <w:rFonts w:ascii="Arial" w:cs="Arial" w:eastAsia="Arial" w:hAnsi="Arial"/>
                <w:sz w:val="18"/>
                <w:szCs w:val="18"/>
                <w:color w:val="0000EE"/>
                <w:w w:val="83"/>
              </w:rPr>
            </w:pPr>
            <w:hyperlink w:anchor="page66">
              <w:r>
                <w:rPr>
                  <w:rFonts w:ascii="Arial" w:cs="Arial" w:eastAsia="Arial" w:hAnsi="Arial"/>
                  <w:sz w:val="18"/>
                  <w:szCs w:val="18"/>
                  <w:color w:val="0000EE"/>
                  <w:w w:val="83"/>
                </w:rPr>
                <w:t>Section 12.01</w:t>
              </w:r>
            </w:hyperlink>
          </w:p>
        </w:tc>
        <w:tc>
          <w:tcPr>
            <w:tcW w:w="3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7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8"/>
              </w:rPr>
            </w:pPr>
            <w:hyperlink w:anchor="page66">
              <w:r>
                <w:rPr>
                  <w:rFonts w:ascii="Arial" w:cs="Arial" w:eastAsia="Arial" w:hAnsi="Arial"/>
                  <w:sz w:val="18"/>
                  <w:szCs w:val="18"/>
                  <w:color w:val="0000EE"/>
                  <w:w w:val="98"/>
                </w:rPr>
                <w:t>Applicability of Article</w:t>
              </w:r>
            </w:hyperlink>
          </w:p>
        </w:tc>
        <w:tc>
          <w:tcPr>
            <w:tcW w:w="1820" w:type="dxa"/>
            <w:vAlign w:val="bottom"/>
            <w:tcBorders>
              <w:top w:val="single" w:sz="8" w:color="0000EE"/>
            </w:tcBorders>
            <w:gridSpan w:val="23"/>
          </w:tcPr>
          <w:p>
            <w:pPr>
              <w:spacing w:after="0"/>
              <w:rPr>
                <w:sz w:val="24"/>
                <w:szCs w:val="24"/>
                <w:color w:val="auto"/>
              </w:rPr>
            </w:pPr>
          </w:p>
        </w:tc>
        <w:tc>
          <w:tcPr>
            <w:tcW w:w="3620" w:type="dxa"/>
            <w:vAlign w:val="bottom"/>
            <w:gridSpan w:val="4"/>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2"/>
        </w:trPr>
        <w:tc>
          <w:tcPr>
            <w:tcW w:w="360" w:type="dxa"/>
            <w:vAlign w:val="bottom"/>
          </w:tcPr>
          <w:p>
            <w:pPr>
              <w:spacing w:after="0"/>
              <w:rPr>
                <w:sz w:val="24"/>
                <w:szCs w:val="24"/>
                <w:color w:val="auto"/>
              </w:rPr>
            </w:pPr>
          </w:p>
        </w:tc>
        <w:tc>
          <w:tcPr>
            <w:tcW w:w="960" w:type="dxa"/>
            <w:vAlign w:val="bottom"/>
          </w:tcPr>
          <w:p>
            <w:pPr>
              <w:spacing w:after="0"/>
              <w:rPr>
                <w:rFonts w:ascii="Arial" w:cs="Arial" w:eastAsia="Arial" w:hAnsi="Arial"/>
                <w:sz w:val="18"/>
                <w:szCs w:val="18"/>
                <w:color w:val="0000EE"/>
                <w:w w:val="83"/>
              </w:rPr>
            </w:pPr>
            <w:hyperlink w:anchor="page66">
              <w:r>
                <w:rPr>
                  <w:rFonts w:ascii="Arial" w:cs="Arial" w:eastAsia="Arial" w:hAnsi="Arial"/>
                  <w:sz w:val="18"/>
                  <w:szCs w:val="18"/>
                  <w:color w:val="0000EE"/>
                  <w:w w:val="83"/>
                </w:rPr>
                <w:t>Section 12.02</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40" w:type="dxa"/>
            <w:vAlign w:val="bottom"/>
            <w:gridSpan w:val="3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Satisfaction and Discharge of Indenture</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960" w:type="dxa"/>
            <w:vAlign w:val="bottom"/>
            <w:tcBorders>
              <w:bottom w:val="single" w:sz="8" w:color="0000EE"/>
            </w:tcBorders>
          </w:tcPr>
          <w:p>
            <w:pPr>
              <w:spacing w:after="0"/>
              <w:rPr>
                <w:rFonts w:ascii="Arial" w:cs="Arial" w:eastAsia="Arial" w:hAnsi="Arial"/>
                <w:sz w:val="18"/>
                <w:szCs w:val="18"/>
                <w:color w:val="0000EE"/>
                <w:w w:val="83"/>
              </w:rPr>
            </w:pPr>
            <w:hyperlink w:anchor="page67">
              <w:r>
                <w:rPr>
                  <w:rFonts w:ascii="Arial" w:cs="Arial" w:eastAsia="Arial" w:hAnsi="Arial"/>
                  <w:sz w:val="18"/>
                  <w:szCs w:val="18"/>
                  <w:color w:val="0000EE"/>
                  <w:w w:val="83"/>
                </w:rPr>
                <w:t>Section 12.03</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60" w:type="dxa"/>
            <w:vAlign w:val="bottom"/>
            <w:tcBorders>
              <w:bottom w:val="single" w:sz="8" w:color="0000EE"/>
            </w:tcBorders>
            <w:gridSpan w:val="32"/>
          </w:tcPr>
          <w:p>
            <w:pPr>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Defeasance upon Deposit of Moneys or U.S. Government Obligations</w:t>
              </w:r>
            </w:hyperlink>
          </w:p>
        </w:tc>
        <w:tc>
          <w:tcPr>
            <w:tcW w:w="208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360" w:type="dxa"/>
            <w:vAlign w:val="bottom"/>
          </w:tcPr>
          <w:p>
            <w:pPr>
              <w:spacing w:after="0"/>
              <w:rPr>
                <w:sz w:val="24"/>
                <w:szCs w:val="24"/>
                <w:color w:val="auto"/>
              </w:rPr>
            </w:pPr>
          </w:p>
        </w:tc>
        <w:tc>
          <w:tcPr>
            <w:tcW w:w="960" w:type="dxa"/>
            <w:vAlign w:val="bottom"/>
            <w:tcBorders>
              <w:bottom w:val="single" w:sz="8" w:color="0000EE"/>
            </w:tcBorders>
          </w:tcPr>
          <w:p>
            <w:pPr>
              <w:spacing w:after="0"/>
              <w:rPr>
                <w:rFonts w:ascii="Arial" w:cs="Arial" w:eastAsia="Arial" w:hAnsi="Arial"/>
                <w:sz w:val="18"/>
                <w:szCs w:val="18"/>
                <w:color w:val="0000EE"/>
                <w:w w:val="83"/>
              </w:rPr>
            </w:pPr>
            <w:hyperlink w:anchor="page68">
              <w:r>
                <w:rPr>
                  <w:rFonts w:ascii="Arial" w:cs="Arial" w:eastAsia="Arial" w:hAnsi="Arial"/>
                  <w:sz w:val="18"/>
                  <w:szCs w:val="18"/>
                  <w:color w:val="0000EE"/>
                  <w:w w:val="83"/>
                </w:rPr>
                <w:t>Section 12.04</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Repayment to Company</w:t>
              </w:r>
            </w:hyperlink>
          </w:p>
        </w:tc>
        <w:tc>
          <w:tcPr>
            <w:tcW w:w="5380" w:type="dxa"/>
            <w:vAlign w:val="bottom"/>
            <w:gridSpan w:val="25"/>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2"/>
        </w:trPr>
        <w:tc>
          <w:tcPr>
            <w:tcW w:w="360" w:type="dxa"/>
            <w:vAlign w:val="bottom"/>
          </w:tcPr>
          <w:p>
            <w:pPr>
              <w:spacing w:after="0"/>
              <w:rPr>
                <w:sz w:val="24"/>
                <w:szCs w:val="24"/>
                <w:color w:val="auto"/>
              </w:rPr>
            </w:pPr>
          </w:p>
        </w:tc>
        <w:tc>
          <w:tcPr>
            <w:tcW w:w="960" w:type="dxa"/>
            <w:vAlign w:val="bottom"/>
            <w:tcBorders>
              <w:bottom w:val="single" w:sz="8" w:color="0000EE"/>
            </w:tcBorders>
          </w:tcPr>
          <w:p>
            <w:pPr>
              <w:spacing w:after="0"/>
              <w:rPr>
                <w:rFonts w:ascii="Arial" w:cs="Arial" w:eastAsia="Arial" w:hAnsi="Arial"/>
                <w:sz w:val="18"/>
                <w:szCs w:val="18"/>
                <w:color w:val="0000EE"/>
                <w:w w:val="83"/>
              </w:rPr>
            </w:pPr>
            <w:hyperlink w:anchor="page68">
              <w:r>
                <w:rPr>
                  <w:rFonts w:ascii="Arial" w:cs="Arial" w:eastAsia="Arial" w:hAnsi="Arial"/>
                  <w:sz w:val="18"/>
                  <w:szCs w:val="18"/>
                  <w:color w:val="0000EE"/>
                  <w:w w:val="83"/>
                </w:rPr>
                <w:t>Section 12.05</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tcBorders>
              <w:bottom w:val="single" w:sz="8" w:color="0000EE"/>
            </w:tcBorders>
            <w:gridSpan w:val="26"/>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Indemnity for U.S. Government Obligations</w:t>
              </w:r>
            </w:hyperlink>
          </w:p>
        </w:tc>
        <w:tc>
          <w:tcPr>
            <w:tcW w:w="3940" w:type="dxa"/>
            <w:vAlign w:val="bottom"/>
            <w:gridSpan w:val="7"/>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2"/>
        </w:trPr>
        <w:tc>
          <w:tcPr>
            <w:tcW w:w="360" w:type="dxa"/>
            <w:vAlign w:val="bottom"/>
          </w:tcPr>
          <w:p>
            <w:pPr>
              <w:spacing w:after="0"/>
              <w:rPr>
                <w:sz w:val="24"/>
                <w:szCs w:val="24"/>
                <w:color w:val="auto"/>
              </w:rPr>
            </w:pPr>
          </w:p>
        </w:tc>
        <w:tc>
          <w:tcPr>
            <w:tcW w:w="960" w:type="dxa"/>
            <w:vAlign w:val="bottom"/>
          </w:tcPr>
          <w:p>
            <w:pPr>
              <w:spacing w:after="0"/>
              <w:rPr>
                <w:rFonts w:ascii="Arial" w:cs="Arial" w:eastAsia="Arial" w:hAnsi="Arial"/>
                <w:sz w:val="18"/>
                <w:szCs w:val="18"/>
                <w:color w:val="0000EE"/>
                <w:w w:val="83"/>
              </w:rPr>
            </w:pPr>
            <w:hyperlink w:anchor="page68">
              <w:r>
                <w:rPr>
                  <w:rFonts w:ascii="Arial" w:cs="Arial" w:eastAsia="Arial" w:hAnsi="Arial"/>
                  <w:sz w:val="18"/>
                  <w:szCs w:val="18"/>
                  <w:color w:val="0000EE"/>
                  <w:w w:val="83"/>
                </w:rPr>
                <w:t>Section 12.06</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40" w:type="dxa"/>
            <w:vAlign w:val="bottom"/>
            <w:gridSpan w:val="3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Application of Trust Money</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960" w:type="dxa"/>
            <w:vAlign w:val="bottom"/>
          </w:tcPr>
          <w:p>
            <w:pPr>
              <w:spacing w:after="0"/>
              <w:rPr>
                <w:rFonts w:ascii="Arial" w:cs="Arial" w:eastAsia="Arial" w:hAnsi="Arial"/>
                <w:sz w:val="18"/>
                <w:szCs w:val="18"/>
                <w:color w:val="0000EE"/>
                <w:w w:val="83"/>
              </w:rPr>
            </w:pPr>
            <w:hyperlink w:anchor="page69">
              <w:r>
                <w:rPr>
                  <w:rFonts w:ascii="Arial" w:cs="Arial" w:eastAsia="Arial" w:hAnsi="Arial"/>
                  <w:sz w:val="18"/>
                  <w:szCs w:val="18"/>
                  <w:color w:val="0000EE"/>
                  <w:w w:val="83"/>
                </w:rPr>
                <w:t>Section 12.07</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40" w:type="dxa"/>
            <w:vAlign w:val="bottom"/>
            <w:gridSpan w:val="3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Deposits of Non-U.S. Currencies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2"/>
        </w:trPr>
        <w:tc>
          <w:tcPr>
            <w:tcW w:w="9020" w:type="dxa"/>
            <w:vAlign w:val="bottom"/>
            <w:gridSpan w:val="37"/>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ARTICLE XIII IMMUNITY OF CERTAIN PERSONS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36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gridSpan w:val="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Section 13.01</w:t>
              </w:r>
            </w:hyperlink>
          </w:p>
        </w:tc>
        <w:tc>
          <w:tcPr>
            <w:tcW w:w="2660" w:type="dxa"/>
            <w:vAlign w:val="bottom"/>
            <w:tcBorders>
              <w:top w:val="single" w:sz="8" w:color="0000EE"/>
            </w:tcBorders>
            <w:gridSpan w:val="15"/>
          </w:tcPr>
          <w:p>
            <w:pPr>
              <w:ind w:left="260"/>
              <w:spacing w:after="0"/>
              <w:rPr>
                <w:rFonts w:ascii="Arial" w:cs="Arial" w:eastAsia="Arial" w:hAnsi="Arial"/>
                <w:sz w:val="18"/>
                <w:szCs w:val="18"/>
                <w:color w:val="0000EE"/>
              </w:rPr>
            </w:pPr>
            <w:hyperlink w:anchor="page69">
              <w:r>
                <w:rPr>
                  <w:rFonts w:ascii="Arial" w:cs="Arial" w:eastAsia="Arial" w:hAnsi="Arial"/>
                  <w:sz w:val="18"/>
                  <w:szCs w:val="18"/>
                  <w:color w:val="0000EE"/>
                </w:rPr>
                <w:t>No Personal Liability</w:t>
              </w:r>
            </w:hyperlink>
          </w:p>
        </w:tc>
        <w:tc>
          <w:tcPr>
            <w:tcW w:w="4740" w:type="dxa"/>
            <w:vAlign w:val="bottom"/>
            <w:gridSpan w:val="19"/>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2"/>
        </w:trPr>
        <w:tc>
          <w:tcPr>
            <w:tcW w:w="3940" w:type="dxa"/>
            <w:vAlign w:val="bottom"/>
            <w:tcBorders>
              <w:bottom w:val="single" w:sz="8" w:color="0000EE"/>
            </w:tcBorders>
            <w:gridSpan w:val="15"/>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ARTICLE XIV SUPPLEMENTAL INDENTURES</w:t>
              </w:r>
            </w:hyperlink>
          </w:p>
        </w:tc>
        <w:tc>
          <w:tcPr>
            <w:tcW w:w="5080" w:type="dxa"/>
            <w:vAlign w:val="bottom"/>
            <w:gridSpan w:val="22"/>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360" w:type="dxa"/>
            <w:vAlign w:val="bottom"/>
          </w:tcPr>
          <w:p>
            <w:pPr>
              <w:spacing w:after="0"/>
              <w:rPr>
                <w:sz w:val="24"/>
                <w:szCs w:val="24"/>
                <w:color w:val="auto"/>
              </w:rPr>
            </w:pPr>
          </w:p>
        </w:tc>
        <w:tc>
          <w:tcPr>
            <w:tcW w:w="960" w:type="dxa"/>
            <w:vAlign w:val="bottom"/>
            <w:tcBorders>
              <w:bottom w:val="single" w:sz="8" w:color="0000EE"/>
            </w:tcBorders>
          </w:tcPr>
          <w:p>
            <w:pPr>
              <w:spacing w:after="0"/>
              <w:rPr>
                <w:rFonts w:ascii="Arial" w:cs="Arial" w:eastAsia="Arial" w:hAnsi="Arial"/>
                <w:sz w:val="18"/>
                <w:szCs w:val="18"/>
                <w:color w:val="0000EE"/>
                <w:w w:val="83"/>
              </w:rPr>
            </w:pPr>
            <w:hyperlink w:anchor="page69">
              <w:r>
                <w:rPr>
                  <w:rFonts w:ascii="Arial" w:cs="Arial" w:eastAsia="Arial" w:hAnsi="Arial"/>
                  <w:sz w:val="18"/>
                  <w:szCs w:val="18"/>
                  <w:color w:val="0000EE"/>
                  <w:w w:val="83"/>
                </w:rPr>
                <w:t>Section 14.01</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Without Consent of Securityholders</w:t>
              </w:r>
            </w:hyperlink>
          </w:p>
        </w:tc>
        <w:tc>
          <w:tcPr>
            <w:tcW w:w="4540" w:type="dxa"/>
            <w:vAlign w:val="bottom"/>
            <w:gridSpan w:val="16"/>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360" w:type="dxa"/>
            <w:vAlign w:val="bottom"/>
          </w:tcPr>
          <w:p>
            <w:pPr>
              <w:spacing w:after="0"/>
              <w:rPr>
                <w:sz w:val="24"/>
                <w:szCs w:val="24"/>
                <w:color w:val="auto"/>
              </w:rPr>
            </w:pPr>
          </w:p>
        </w:tc>
        <w:tc>
          <w:tcPr>
            <w:tcW w:w="960" w:type="dxa"/>
            <w:vAlign w:val="bottom"/>
          </w:tcPr>
          <w:p>
            <w:pPr>
              <w:spacing w:after="0"/>
              <w:rPr>
                <w:rFonts w:ascii="Arial" w:cs="Arial" w:eastAsia="Arial" w:hAnsi="Arial"/>
                <w:sz w:val="18"/>
                <w:szCs w:val="18"/>
                <w:color w:val="0000EE"/>
                <w:w w:val="83"/>
              </w:rPr>
            </w:pPr>
            <w:hyperlink w:anchor="page71">
              <w:r>
                <w:rPr>
                  <w:rFonts w:ascii="Arial" w:cs="Arial" w:eastAsia="Arial" w:hAnsi="Arial"/>
                  <w:sz w:val="18"/>
                  <w:szCs w:val="18"/>
                  <w:color w:val="0000EE"/>
                  <w:w w:val="83"/>
                </w:rPr>
                <w:t>Section 14.02</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40" w:type="dxa"/>
            <w:vAlign w:val="bottom"/>
            <w:gridSpan w:val="3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With Consent of Securityholders; Limitations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2"/>
        </w:trPr>
        <w:tc>
          <w:tcPr>
            <w:tcW w:w="360" w:type="dxa"/>
            <w:vAlign w:val="bottom"/>
          </w:tcPr>
          <w:p>
            <w:pPr>
              <w:spacing w:after="0"/>
              <w:rPr>
                <w:sz w:val="24"/>
                <w:szCs w:val="24"/>
                <w:color w:val="auto"/>
              </w:rPr>
            </w:pPr>
          </w:p>
        </w:tc>
        <w:tc>
          <w:tcPr>
            <w:tcW w:w="960" w:type="dxa"/>
            <w:vAlign w:val="bottom"/>
            <w:tcBorders>
              <w:top w:val="single" w:sz="8" w:color="0000EE"/>
            </w:tcBorders>
          </w:tcPr>
          <w:p>
            <w:pPr>
              <w:spacing w:after="0"/>
              <w:rPr>
                <w:rFonts w:ascii="Arial" w:cs="Arial" w:eastAsia="Arial" w:hAnsi="Arial"/>
                <w:sz w:val="18"/>
                <w:szCs w:val="18"/>
                <w:color w:val="0000EE"/>
                <w:w w:val="83"/>
              </w:rPr>
            </w:pPr>
            <w:hyperlink w:anchor="page72">
              <w:r>
                <w:rPr>
                  <w:rFonts w:ascii="Arial" w:cs="Arial" w:eastAsia="Arial" w:hAnsi="Arial"/>
                  <w:sz w:val="18"/>
                  <w:szCs w:val="18"/>
                  <w:color w:val="0000EE"/>
                  <w:w w:val="83"/>
                </w:rPr>
                <w:t>Section 14.03</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80" w:type="dxa"/>
            <w:vAlign w:val="bottom"/>
            <w:tcBorders>
              <w:top w:val="single" w:sz="8" w:color="0000EE"/>
            </w:tcBorders>
            <w:gridSpan w:val="27"/>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Trustee Protected</w:t>
              </w:r>
            </w:hyperlink>
          </w:p>
        </w:tc>
        <w:tc>
          <w:tcPr>
            <w:tcW w:w="3860" w:type="dxa"/>
            <w:vAlign w:val="bottom"/>
            <w:gridSpan w:val="6"/>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960" w:type="dxa"/>
            <w:vAlign w:val="bottom"/>
            <w:tcBorders>
              <w:bottom w:val="single" w:sz="8" w:color="0000EE"/>
            </w:tcBorders>
          </w:tcPr>
          <w:p>
            <w:pPr>
              <w:spacing w:after="0"/>
              <w:rPr>
                <w:rFonts w:ascii="Arial" w:cs="Arial" w:eastAsia="Arial" w:hAnsi="Arial"/>
                <w:sz w:val="18"/>
                <w:szCs w:val="18"/>
                <w:color w:val="0000EE"/>
                <w:w w:val="83"/>
              </w:rPr>
            </w:pPr>
            <w:hyperlink w:anchor="page72">
              <w:r>
                <w:rPr>
                  <w:rFonts w:ascii="Arial" w:cs="Arial" w:eastAsia="Arial" w:hAnsi="Arial"/>
                  <w:sz w:val="18"/>
                  <w:szCs w:val="18"/>
                  <w:color w:val="0000EE"/>
                  <w:w w:val="83"/>
                </w:rPr>
                <w:t>Section 14.04</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tcBorders>
              <w:bottom w:val="single" w:sz="8" w:color="0000EE"/>
            </w:tcBorders>
            <w:gridSpan w:val="28"/>
          </w:tcPr>
          <w:p>
            <w:pPr>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Effect of Execution of Supplemental Indenture</w:t>
              </w:r>
            </w:hyperlink>
          </w:p>
        </w:tc>
        <w:tc>
          <w:tcPr>
            <w:tcW w:w="3760" w:type="dxa"/>
            <w:vAlign w:val="bottom"/>
            <w:gridSpan w:val="5"/>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360" w:type="dxa"/>
            <w:vAlign w:val="bottom"/>
          </w:tcPr>
          <w:p>
            <w:pPr>
              <w:spacing w:after="0"/>
              <w:rPr>
                <w:sz w:val="24"/>
                <w:szCs w:val="24"/>
                <w:color w:val="auto"/>
              </w:rPr>
            </w:pPr>
          </w:p>
        </w:tc>
        <w:tc>
          <w:tcPr>
            <w:tcW w:w="960" w:type="dxa"/>
            <w:vAlign w:val="bottom"/>
            <w:tcBorders>
              <w:bottom w:val="single" w:sz="8" w:color="0000EE"/>
            </w:tcBorders>
          </w:tcPr>
          <w:p>
            <w:pPr>
              <w:spacing w:after="0"/>
              <w:rPr>
                <w:rFonts w:ascii="Arial" w:cs="Arial" w:eastAsia="Arial" w:hAnsi="Arial"/>
                <w:sz w:val="18"/>
                <w:szCs w:val="18"/>
                <w:color w:val="0000EE"/>
                <w:w w:val="83"/>
              </w:rPr>
            </w:pPr>
            <w:hyperlink w:anchor="page72">
              <w:r>
                <w:rPr>
                  <w:rFonts w:ascii="Arial" w:cs="Arial" w:eastAsia="Arial" w:hAnsi="Arial"/>
                  <w:sz w:val="18"/>
                  <w:szCs w:val="18"/>
                  <w:color w:val="0000EE"/>
                  <w:w w:val="83"/>
                </w:rPr>
                <w:t>Section 14.05</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Notation on or Exchange of Securities</w:t>
              </w:r>
            </w:hyperlink>
          </w:p>
        </w:tc>
        <w:tc>
          <w:tcPr>
            <w:tcW w:w="4380" w:type="dxa"/>
            <w:vAlign w:val="bottom"/>
            <w:gridSpan w:val="12"/>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360" w:type="dxa"/>
            <w:vAlign w:val="bottom"/>
          </w:tcPr>
          <w:p>
            <w:pPr>
              <w:spacing w:after="0"/>
              <w:rPr>
                <w:sz w:val="24"/>
                <w:szCs w:val="24"/>
                <w:color w:val="auto"/>
              </w:rPr>
            </w:pPr>
          </w:p>
        </w:tc>
        <w:tc>
          <w:tcPr>
            <w:tcW w:w="960" w:type="dxa"/>
            <w:vAlign w:val="bottom"/>
            <w:tcBorders>
              <w:bottom w:val="single" w:sz="8" w:color="0000EE"/>
            </w:tcBorders>
          </w:tcPr>
          <w:p>
            <w:pPr>
              <w:spacing w:after="0"/>
              <w:rPr>
                <w:rFonts w:ascii="Arial" w:cs="Arial" w:eastAsia="Arial" w:hAnsi="Arial"/>
                <w:sz w:val="18"/>
                <w:szCs w:val="18"/>
                <w:color w:val="0000EE"/>
                <w:w w:val="83"/>
              </w:rPr>
            </w:pPr>
            <w:hyperlink w:anchor="page72">
              <w:r>
                <w:rPr>
                  <w:rFonts w:ascii="Arial" w:cs="Arial" w:eastAsia="Arial" w:hAnsi="Arial"/>
                  <w:sz w:val="18"/>
                  <w:szCs w:val="18"/>
                  <w:color w:val="0000EE"/>
                  <w:w w:val="83"/>
                </w:rPr>
                <w:t>Section 14.06</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tcBorders>
              <w:bottom w:val="single" w:sz="8" w:color="0000EE"/>
            </w:tcBorders>
            <w:gridSpan w:val="24"/>
          </w:tcPr>
          <w:p>
            <w:pPr>
              <w:spacing w:after="0"/>
              <w:rPr>
                <w:rFonts w:ascii="Arial" w:cs="Arial" w:eastAsia="Arial" w:hAnsi="Arial"/>
                <w:sz w:val="18"/>
                <w:szCs w:val="18"/>
                <w:color w:val="0000EE"/>
                <w:w w:val="93"/>
              </w:rPr>
            </w:pPr>
            <w:hyperlink w:anchor="page72">
              <w:r>
                <w:rPr>
                  <w:rFonts w:ascii="Arial" w:cs="Arial" w:eastAsia="Arial" w:hAnsi="Arial"/>
                  <w:sz w:val="18"/>
                  <w:szCs w:val="18"/>
                  <w:color w:val="0000EE"/>
                  <w:w w:val="93"/>
                </w:rPr>
                <w:t>Conformity with the Trust Indenture Act</w:t>
              </w:r>
            </w:hyperlink>
          </w:p>
        </w:tc>
        <w:tc>
          <w:tcPr>
            <w:tcW w:w="4200" w:type="dxa"/>
            <w:vAlign w:val="bottom"/>
            <w:gridSpan w:val="9"/>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3920" w:type="dxa"/>
            <w:vAlign w:val="bottom"/>
            <w:tcBorders>
              <w:bottom w:val="single" w:sz="8" w:color="0000EE"/>
            </w:tcBorders>
            <w:gridSpan w:val="14"/>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ARTICLE XV MISCELLANEOUS PROVISIONS</w:t>
              </w:r>
            </w:hyperlink>
          </w:p>
        </w:tc>
        <w:tc>
          <w:tcPr>
            <w:tcW w:w="5100" w:type="dxa"/>
            <w:vAlign w:val="bottom"/>
            <w:gridSpan w:val="23"/>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360" w:type="dxa"/>
            <w:vAlign w:val="bottom"/>
          </w:tcPr>
          <w:p>
            <w:pPr>
              <w:spacing w:after="0"/>
              <w:rPr>
                <w:sz w:val="24"/>
                <w:szCs w:val="24"/>
                <w:color w:val="auto"/>
              </w:rPr>
            </w:pPr>
          </w:p>
        </w:tc>
        <w:tc>
          <w:tcPr>
            <w:tcW w:w="960" w:type="dxa"/>
            <w:vAlign w:val="bottom"/>
            <w:tcBorders>
              <w:bottom w:val="single" w:sz="8" w:color="0000EE"/>
            </w:tcBorders>
          </w:tcPr>
          <w:p>
            <w:pPr>
              <w:spacing w:after="0"/>
              <w:rPr>
                <w:rFonts w:ascii="Arial" w:cs="Arial" w:eastAsia="Arial" w:hAnsi="Arial"/>
                <w:sz w:val="18"/>
                <w:szCs w:val="18"/>
                <w:color w:val="0000EE"/>
                <w:w w:val="83"/>
              </w:rPr>
            </w:pPr>
            <w:hyperlink w:anchor="page72">
              <w:r>
                <w:rPr>
                  <w:rFonts w:ascii="Arial" w:cs="Arial" w:eastAsia="Arial" w:hAnsi="Arial"/>
                  <w:sz w:val="18"/>
                  <w:szCs w:val="18"/>
                  <w:color w:val="0000EE"/>
                  <w:w w:val="83"/>
                </w:rPr>
                <w:t>Section 15.01</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20" w:type="dxa"/>
            <w:vAlign w:val="bottom"/>
            <w:tcBorders>
              <w:bottom w:val="single" w:sz="8" w:color="0000EE"/>
            </w:tcBorders>
            <w:gridSpan w:val="30"/>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Certificates and Opinions as to Conditions Precedent</w:t>
              </w:r>
            </w:hyperlink>
          </w:p>
        </w:tc>
        <w:tc>
          <w:tcPr>
            <w:tcW w:w="3320" w:type="dxa"/>
            <w:vAlign w:val="bottom"/>
            <w:gridSpan w:val="3"/>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360" w:type="dxa"/>
            <w:vAlign w:val="bottom"/>
          </w:tcPr>
          <w:p>
            <w:pPr>
              <w:spacing w:after="0"/>
              <w:rPr>
                <w:sz w:val="24"/>
                <w:szCs w:val="24"/>
                <w:color w:val="auto"/>
              </w:rPr>
            </w:pPr>
          </w:p>
        </w:tc>
        <w:tc>
          <w:tcPr>
            <w:tcW w:w="960" w:type="dxa"/>
            <w:vAlign w:val="bottom"/>
          </w:tcPr>
          <w:p>
            <w:pPr>
              <w:spacing w:after="0"/>
              <w:rPr>
                <w:rFonts w:ascii="Arial" w:cs="Arial" w:eastAsia="Arial" w:hAnsi="Arial"/>
                <w:sz w:val="18"/>
                <w:szCs w:val="18"/>
                <w:color w:val="0000EE"/>
                <w:w w:val="83"/>
              </w:rPr>
            </w:pPr>
            <w:hyperlink w:anchor="page73">
              <w:r>
                <w:rPr>
                  <w:rFonts w:ascii="Arial" w:cs="Arial" w:eastAsia="Arial" w:hAnsi="Arial"/>
                  <w:sz w:val="18"/>
                  <w:szCs w:val="18"/>
                  <w:color w:val="0000EE"/>
                  <w:w w:val="83"/>
                </w:rPr>
                <w:t>Section 15.02</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40" w:type="dxa"/>
            <w:vAlign w:val="bottom"/>
            <w:gridSpan w:val="3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Trust Indenture Act Controls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8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960" w:type="dxa"/>
            <w:vAlign w:val="bottom"/>
            <w:tcBorders>
              <w:bottom w:val="single" w:sz="8" w:color="0000EE"/>
            </w:tcBorders>
          </w:tcPr>
          <w:p>
            <w:pPr>
              <w:spacing w:after="0"/>
              <w:rPr>
                <w:rFonts w:ascii="Arial" w:cs="Arial" w:eastAsia="Arial" w:hAnsi="Arial"/>
                <w:sz w:val="18"/>
                <w:szCs w:val="18"/>
                <w:color w:val="0000EE"/>
                <w:w w:val="83"/>
              </w:rPr>
            </w:pPr>
            <w:hyperlink w:anchor="page73">
              <w:r>
                <w:rPr>
                  <w:rFonts w:ascii="Arial" w:cs="Arial" w:eastAsia="Arial" w:hAnsi="Arial"/>
                  <w:sz w:val="18"/>
                  <w:szCs w:val="18"/>
                  <w:color w:val="0000EE"/>
                  <w:w w:val="83"/>
                </w:rPr>
                <w:t>Section 15.03</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Notices to the Company and Trustee</w:t>
              </w:r>
            </w:hyperlink>
          </w:p>
        </w:tc>
        <w:tc>
          <w:tcPr>
            <w:tcW w:w="4500" w:type="dxa"/>
            <w:vAlign w:val="bottom"/>
            <w:gridSpan w:val="15"/>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2"/>
        </w:trPr>
        <w:tc>
          <w:tcPr>
            <w:tcW w:w="360" w:type="dxa"/>
            <w:vAlign w:val="bottom"/>
          </w:tcPr>
          <w:p>
            <w:pPr>
              <w:spacing w:after="0"/>
              <w:rPr>
                <w:sz w:val="24"/>
                <w:szCs w:val="24"/>
                <w:color w:val="auto"/>
              </w:rPr>
            </w:pPr>
          </w:p>
        </w:tc>
        <w:tc>
          <w:tcPr>
            <w:tcW w:w="960" w:type="dxa"/>
            <w:vAlign w:val="bottom"/>
          </w:tcPr>
          <w:p>
            <w:pPr>
              <w:spacing w:after="0"/>
              <w:rPr>
                <w:rFonts w:ascii="Arial" w:cs="Arial" w:eastAsia="Arial" w:hAnsi="Arial"/>
                <w:sz w:val="18"/>
                <w:szCs w:val="18"/>
                <w:color w:val="0000EE"/>
                <w:w w:val="83"/>
              </w:rPr>
            </w:pPr>
            <w:hyperlink w:anchor="page73">
              <w:r>
                <w:rPr>
                  <w:rFonts w:ascii="Arial" w:cs="Arial" w:eastAsia="Arial" w:hAnsi="Arial"/>
                  <w:sz w:val="18"/>
                  <w:szCs w:val="18"/>
                  <w:color w:val="0000EE"/>
                  <w:w w:val="83"/>
                </w:rPr>
                <w:t>Section 15.04</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40" w:type="dxa"/>
            <w:vAlign w:val="bottom"/>
            <w:gridSpan w:val="3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Notices to Securityholders; Waiver</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3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0" w:type="dxa"/>
            <w:vAlign w:val="bottom"/>
            <w:gridSpan w:val="9"/>
            <w:shd w:val="clear" w:color="auto" w:fill="0000EE"/>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8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960" w:type="dxa"/>
            <w:vAlign w:val="bottom"/>
            <w:tcBorders>
              <w:bottom w:val="single" w:sz="8" w:color="0000EE"/>
            </w:tcBorders>
          </w:tcPr>
          <w:p>
            <w:pPr>
              <w:spacing w:after="0"/>
              <w:rPr>
                <w:rFonts w:ascii="Arial" w:cs="Arial" w:eastAsia="Arial" w:hAnsi="Arial"/>
                <w:sz w:val="18"/>
                <w:szCs w:val="18"/>
                <w:color w:val="0000EE"/>
                <w:w w:val="83"/>
              </w:rPr>
            </w:pPr>
            <w:hyperlink w:anchor="page74">
              <w:r>
                <w:rPr>
                  <w:rFonts w:ascii="Arial" w:cs="Arial" w:eastAsia="Arial" w:hAnsi="Arial"/>
                  <w:sz w:val="18"/>
                  <w:szCs w:val="18"/>
                  <w:color w:val="0000EE"/>
                  <w:w w:val="83"/>
                </w:rPr>
                <w:t>Section 15.05</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Borders>
              <w:bottom w:val="single" w:sz="8" w:color="0000EE"/>
            </w:tcBorders>
          </w:tcPr>
          <w:p>
            <w:pPr>
              <w:spacing w:after="0"/>
              <w:rPr>
                <w:rFonts w:ascii="Arial" w:cs="Arial" w:eastAsia="Arial" w:hAnsi="Arial"/>
                <w:sz w:val="18"/>
                <w:szCs w:val="18"/>
                <w:color w:val="0000EE"/>
                <w:w w:val="93"/>
              </w:rPr>
            </w:pPr>
            <w:hyperlink w:anchor="page74">
              <w:r>
                <w:rPr>
                  <w:rFonts w:ascii="Arial" w:cs="Arial" w:eastAsia="Arial" w:hAnsi="Arial"/>
                  <w:sz w:val="18"/>
                  <w:szCs w:val="18"/>
                  <w:color w:val="0000EE"/>
                  <w:w w:val="93"/>
                </w:rPr>
                <w:t>Legal Holiday</w:t>
              </w:r>
            </w:hyperlink>
          </w:p>
        </w:tc>
        <w:tc>
          <w:tcPr>
            <w:tcW w:w="6100" w:type="dxa"/>
            <w:vAlign w:val="bottom"/>
            <w:gridSpan w:val="32"/>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360" w:type="dxa"/>
            <w:vAlign w:val="bottom"/>
          </w:tcPr>
          <w:p>
            <w:pPr>
              <w:spacing w:after="0"/>
              <w:rPr>
                <w:sz w:val="24"/>
                <w:szCs w:val="24"/>
                <w:color w:val="auto"/>
              </w:rPr>
            </w:pPr>
          </w:p>
        </w:tc>
        <w:tc>
          <w:tcPr>
            <w:tcW w:w="960" w:type="dxa"/>
            <w:vAlign w:val="bottom"/>
            <w:tcBorders>
              <w:bottom w:val="single" w:sz="8" w:color="0000EE"/>
            </w:tcBorders>
          </w:tcPr>
          <w:p>
            <w:pPr>
              <w:spacing w:after="0"/>
              <w:rPr>
                <w:rFonts w:ascii="Arial" w:cs="Arial" w:eastAsia="Arial" w:hAnsi="Arial"/>
                <w:sz w:val="18"/>
                <w:szCs w:val="18"/>
                <w:color w:val="0000EE"/>
                <w:w w:val="83"/>
              </w:rPr>
            </w:pPr>
            <w:hyperlink w:anchor="page74">
              <w:r>
                <w:rPr>
                  <w:rFonts w:ascii="Arial" w:cs="Arial" w:eastAsia="Arial" w:hAnsi="Arial"/>
                  <w:sz w:val="18"/>
                  <w:szCs w:val="18"/>
                  <w:color w:val="0000EE"/>
                  <w:w w:val="83"/>
                </w:rPr>
                <w:t>Section 15.06</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tcBorders>
              <w:bottom w:val="single" w:sz="8" w:color="0000EE"/>
            </w:tcBorders>
            <w:gridSpan w:val="25"/>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Effects of Headings and Table of Contents</w:t>
              </w:r>
            </w:hyperlink>
          </w:p>
        </w:tc>
        <w:tc>
          <w:tcPr>
            <w:tcW w:w="4080" w:type="dxa"/>
            <w:vAlign w:val="bottom"/>
            <w:gridSpan w:val="8"/>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360" w:type="dxa"/>
            <w:vAlign w:val="bottom"/>
          </w:tcPr>
          <w:p>
            <w:pPr>
              <w:spacing w:after="0"/>
              <w:rPr>
                <w:sz w:val="24"/>
                <w:szCs w:val="24"/>
                <w:color w:val="auto"/>
              </w:rPr>
            </w:pPr>
          </w:p>
        </w:tc>
        <w:tc>
          <w:tcPr>
            <w:tcW w:w="960" w:type="dxa"/>
            <w:vAlign w:val="bottom"/>
            <w:tcBorders>
              <w:bottom w:val="single" w:sz="8" w:color="0000EE"/>
            </w:tcBorders>
          </w:tcPr>
          <w:p>
            <w:pPr>
              <w:spacing w:after="0"/>
              <w:rPr>
                <w:rFonts w:ascii="Arial" w:cs="Arial" w:eastAsia="Arial" w:hAnsi="Arial"/>
                <w:sz w:val="18"/>
                <w:szCs w:val="18"/>
                <w:color w:val="0000EE"/>
                <w:w w:val="83"/>
              </w:rPr>
            </w:pPr>
            <w:hyperlink w:anchor="page74">
              <w:r>
                <w:rPr>
                  <w:rFonts w:ascii="Arial" w:cs="Arial" w:eastAsia="Arial" w:hAnsi="Arial"/>
                  <w:sz w:val="18"/>
                  <w:szCs w:val="18"/>
                  <w:color w:val="0000EE"/>
                  <w:w w:val="83"/>
                </w:rPr>
                <w:t>Section 15.07</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74">
              <w:r>
                <w:rPr>
                  <w:rFonts w:ascii="Arial" w:cs="Arial" w:eastAsia="Arial" w:hAnsi="Arial"/>
                  <w:sz w:val="18"/>
                  <w:szCs w:val="18"/>
                  <w:color w:val="0000EE"/>
                  <w:w w:val="86"/>
                </w:rPr>
                <w:t>Successors and Assigns</w:t>
              </w:r>
            </w:hyperlink>
          </w:p>
        </w:tc>
        <w:tc>
          <w:tcPr>
            <w:tcW w:w="5420" w:type="dxa"/>
            <w:vAlign w:val="bottom"/>
            <w:gridSpan w:val="26"/>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360" w:type="dxa"/>
            <w:vAlign w:val="bottom"/>
          </w:tcPr>
          <w:p>
            <w:pPr>
              <w:spacing w:after="0"/>
              <w:rPr>
                <w:sz w:val="24"/>
                <w:szCs w:val="24"/>
                <w:color w:val="auto"/>
              </w:rPr>
            </w:pPr>
          </w:p>
        </w:tc>
        <w:tc>
          <w:tcPr>
            <w:tcW w:w="960" w:type="dxa"/>
            <w:vAlign w:val="bottom"/>
          </w:tcPr>
          <w:p>
            <w:pPr>
              <w:spacing w:after="0"/>
              <w:rPr>
                <w:rFonts w:ascii="Arial" w:cs="Arial" w:eastAsia="Arial" w:hAnsi="Arial"/>
                <w:sz w:val="18"/>
                <w:szCs w:val="18"/>
                <w:color w:val="0000EE"/>
                <w:w w:val="83"/>
              </w:rPr>
            </w:pPr>
            <w:hyperlink w:anchor="page74">
              <w:r>
                <w:rPr>
                  <w:rFonts w:ascii="Arial" w:cs="Arial" w:eastAsia="Arial" w:hAnsi="Arial"/>
                  <w:sz w:val="18"/>
                  <w:szCs w:val="18"/>
                  <w:color w:val="0000EE"/>
                  <w:w w:val="83"/>
                </w:rPr>
                <w:t>Section 15.08</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40" w:type="dxa"/>
            <w:vAlign w:val="bottom"/>
            <w:gridSpan w:val="33"/>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Separability Clause</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18"/>
          </w:tcPr>
          <w:p>
            <w:pPr>
              <w:spacing w:after="0" w:line="20" w:lineRule="exact"/>
              <w:rPr>
                <w:sz w:val="1"/>
                <w:szCs w:val="1"/>
                <w:color w:val="auto"/>
              </w:rPr>
            </w:pPr>
          </w:p>
        </w:tc>
        <w:tc>
          <w:tcPr>
            <w:tcW w:w="4220" w:type="dxa"/>
            <w:vAlign w:val="bottom"/>
            <w:gridSpan w:val="1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960" w:type="dxa"/>
            <w:vAlign w:val="bottom"/>
            <w:tcBorders>
              <w:bottom w:val="single" w:sz="8" w:color="0000EE"/>
            </w:tcBorders>
          </w:tcPr>
          <w:p>
            <w:pPr>
              <w:spacing w:after="0"/>
              <w:rPr>
                <w:rFonts w:ascii="Arial" w:cs="Arial" w:eastAsia="Arial" w:hAnsi="Arial"/>
                <w:sz w:val="18"/>
                <w:szCs w:val="18"/>
                <w:color w:val="0000EE"/>
                <w:w w:val="83"/>
              </w:rPr>
            </w:pPr>
            <w:hyperlink w:anchor="page74">
              <w:r>
                <w:rPr>
                  <w:rFonts w:ascii="Arial" w:cs="Arial" w:eastAsia="Arial" w:hAnsi="Arial"/>
                  <w:sz w:val="18"/>
                  <w:szCs w:val="18"/>
                  <w:color w:val="0000EE"/>
                  <w:w w:val="83"/>
                </w:rPr>
                <w:t>Section 15.09</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Benefits of Indenture</w:t>
              </w:r>
            </w:hyperlink>
          </w:p>
        </w:tc>
        <w:tc>
          <w:tcPr>
            <w:tcW w:w="5580" w:type="dxa"/>
            <w:vAlign w:val="bottom"/>
            <w:gridSpan w:val="29"/>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360" w:type="dxa"/>
            <w:vAlign w:val="bottom"/>
          </w:tcPr>
          <w:p>
            <w:pPr>
              <w:spacing w:after="0"/>
              <w:rPr>
                <w:sz w:val="24"/>
                <w:szCs w:val="24"/>
                <w:color w:val="auto"/>
              </w:rPr>
            </w:pPr>
          </w:p>
        </w:tc>
        <w:tc>
          <w:tcPr>
            <w:tcW w:w="1260" w:type="dxa"/>
            <w:vAlign w:val="bottom"/>
            <w:gridSpan w:val="2"/>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Section 15.10</w:t>
              </w:r>
            </w:hyperlink>
          </w:p>
        </w:tc>
        <w:tc>
          <w:tcPr>
            <w:tcW w:w="7400" w:type="dxa"/>
            <w:vAlign w:val="bottom"/>
            <w:gridSpan w:val="34"/>
          </w:tcPr>
          <w:p>
            <w:pPr>
              <w:ind w:left="260"/>
              <w:spacing w:after="0"/>
              <w:rPr>
                <w:rFonts w:ascii="Arial" w:cs="Arial" w:eastAsia="Arial" w:hAnsi="Arial"/>
                <w:sz w:val="18"/>
                <w:szCs w:val="18"/>
                <w:color w:val="0000EE"/>
              </w:rPr>
            </w:pPr>
            <w:hyperlink w:anchor="page74">
              <w:r>
                <w:rPr>
                  <w:rFonts w:ascii="Arial" w:cs="Arial" w:eastAsia="Arial" w:hAnsi="Arial"/>
                  <w:sz w:val="18"/>
                  <w:szCs w:val="18"/>
                  <w:color w:val="0000EE"/>
                </w:rPr>
                <w:t>Counterparts Originals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1280" w:type="dxa"/>
            <w:vAlign w:val="bottom"/>
            <w:gridSpan w:val="18"/>
          </w:tcPr>
          <w:p>
            <w:pPr>
              <w:spacing w:after="0" w:line="20" w:lineRule="exact"/>
              <w:rPr>
                <w:sz w:val="1"/>
                <w:szCs w:val="1"/>
                <w:color w:val="auto"/>
              </w:rPr>
            </w:pPr>
          </w:p>
        </w:tc>
        <w:tc>
          <w:tcPr>
            <w:tcW w:w="4220" w:type="dxa"/>
            <w:vAlign w:val="bottom"/>
            <w:gridSpan w:val="1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960" w:type="dxa"/>
            <w:vAlign w:val="bottom"/>
            <w:tcBorders>
              <w:bottom w:val="single" w:sz="8" w:color="0000EE"/>
            </w:tcBorders>
          </w:tcPr>
          <w:p>
            <w:pPr>
              <w:spacing w:after="0"/>
              <w:rPr>
                <w:rFonts w:ascii="Arial" w:cs="Arial" w:eastAsia="Arial" w:hAnsi="Arial"/>
                <w:sz w:val="18"/>
                <w:szCs w:val="18"/>
                <w:color w:val="0000EE"/>
                <w:w w:val="83"/>
              </w:rPr>
            </w:pPr>
            <w:hyperlink w:anchor="page74">
              <w:r>
                <w:rPr>
                  <w:rFonts w:ascii="Arial" w:cs="Arial" w:eastAsia="Arial" w:hAnsi="Arial"/>
                  <w:sz w:val="18"/>
                  <w:szCs w:val="18"/>
                  <w:color w:val="0000EE"/>
                  <w:w w:val="83"/>
                </w:rPr>
                <w:t>Section 15.11</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20" w:type="dxa"/>
            <w:vAlign w:val="bottom"/>
            <w:tcBorders>
              <w:bottom w:val="single" w:sz="8" w:color="0000EE"/>
            </w:tcBorders>
            <w:gridSpan w:val="23"/>
          </w:tcPr>
          <w:p>
            <w:pPr>
              <w:spacing w:after="0"/>
              <w:rPr>
                <w:rFonts w:ascii="Arial" w:cs="Arial" w:eastAsia="Arial" w:hAnsi="Arial"/>
                <w:sz w:val="18"/>
                <w:szCs w:val="18"/>
                <w:color w:val="0000EE"/>
                <w:w w:val="93"/>
              </w:rPr>
            </w:pPr>
            <w:hyperlink w:anchor="page74">
              <w:r>
                <w:rPr>
                  <w:rFonts w:ascii="Arial" w:cs="Arial" w:eastAsia="Arial" w:hAnsi="Arial"/>
                  <w:sz w:val="18"/>
                  <w:szCs w:val="18"/>
                  <w:color w:val="0000EE"/>
                  <w:w w:val="93"/>
                </w:rPr>
                <w:t>Governing Law; Waiver of Trial by Jury</w:t>
              </w:r>
            </w:hyperlink>
          </w:p>
        </w:tc>
        <w:tc>
          <w:tcPr>
            <w:tcW w:w="4220" w:type="dxa"/>
            <w:vAlign w:val="bottom"/>
            <w:gridSpan w:val="10"/>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00" w:right="359" w:bottom="5" w:gutter="0" w:footer="0" w:header="0"/>
        </w:sectPr>
      </w:pPr>
    </w:p>
    <w:bookmarkStart w:id="26" w:name="page27"/>
    <w:bookmarkEnd w:id="26"/>
    <w:p>
      <w:pPr>
        <w:ind w:left="460"/>
        <w:spacing w:after="0"/>
        <w:rPr>
          <w:sz w:val="20"/>
          <w:szCs w:val="20"/>
          <w:color w:val="auto"/>
        </w:rPr>
      </w:pPr>
      <w:r>
        <w:rPr>
          <w:rFonts w:ascii="Arial" w:cs="Arial" w:eastAsia="Arial" w:hAnsi="Arial"/>
          <w:sz w:val="16"/>
          <w:szCs w:val="16"/>
          <w:color w:val="auto"/>
        </w:rPr>
        <w:t>INDENTURE dated as of_____________ , _____________ (this “Indenture”), among Brown &amp; Brown, Inc., a Florida corporation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__________________, a national banking association organized under the laws of the United States, as trustee (the “Trustee”).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56" w:lineRule="exact"/>
        <w:rPr>
          <w:sz w:val="20"/>
          <w:szCs w:val="20"/>
          <w:color w:val="auto"/>
        </w:rPr>
      </w:pPr>
    </w:p>
    <w:p>
      <w:pPr>
        <w:jc w:val="both"/>
        <w:ind w:firstLine="523"/>
        <w:spacing w:after="0" w:line="264" w:lineRule="auto"/>
        <w:rPr>
          <w:sz w:val="20"/>
          <w:szCs w:val="20"/>
          <w:color w:val="auto"/>
        </w:rPr>
      </w:pPr>
      <w:r>
        <w:rPr>
          <w:rFonts w:ascii="Arial" w:cs="Arial" w:eastAsia="Arial" w:hAnsi="Arial"/>
          <w:sz w:val="18"/>
          <w:szCs w:val="18"/>
          <w:color w:val="auto"/>
        </w:rPr>
        <w:t>WHEREAS, the Company has duly authorized the execution and delivery of this Indenture to provide for the issuance of debentures, notes, bonds or other evidences of indebtedness (the “Securities”) in an unlimited aggregate principal amount to be issued from time to time in one or more series as provided in this Indenture; and</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WHEREAS, all things necessary to make this Indenture a valid and legally binding agreement of the Company, in accordance with its terms, have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done.</w:t>
      </w:r>
    </w:p>
    <w:p>
      <w:pPr>
        <w:spacing w:after="0" w:line="238" w:lineRule="exact"/>
        <w:rPr>
          <w:sz w:val="20"/>
          <w:szCs w:val="20"/>
          <w:color w:val="auto"/>
        </w:rPr>
      </w:pPr>
    </w:p>
    <w:p>
      <w:pPr>
        <w:jc w:val="both"/>
        <w:ind w:firstLine="571"/>
        <w:spacing w:after="0" w:line="342" w:lineRule="auto"/>
        <w:rPr>
          <w:sz w:val="20"/>
          <w:szCs w:val="20"/>
          <w:color w:val="auto"/>
        </w:rPr>
      </w:pPr>
      <w:r>
        <w:rPr>
          <w:rFonts w:ascii="Arial" w:cs="Arial" w:eastAsia="Arial" w:hAnsi="Arial"/>
          <w:sz w:val="16"/>
          <w:szCs w:val="16"/>
          <w:color w:val="auto"/>
        </w:rPr>
        <w:t>NOW, THEREFORE, THIS INDENTURE WITNESSETH: that, in consideration of the premises and the purchase of the Securities by the Holders thereof for the equal and proportionate benefit of all of the present and future Holders of the Securities, each party agrees and covenants as follows: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252" w:lineRule="exact"/>
        <w:rPr>
          <w:sz w:val="20"/>
          <w:szCs w:val="20"/>
          <w:color w:val="auto"/>
        </w:rPr>
      </w:pPr>
    </w:p>
    <w:p>
      <w:pPr>
        <w:ind w:left="700" w:hanging="242"/>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 and include the plural as well as the singular;</w:t>
      </w:r>
    </w:p>
    <w:p>
      <w:pPr>
        <w:spacing w:after="0" w:line="252" w:lineRule="exact"/>
        <w:rPr>
          <w:rFonts w:ascii="Arial" w:cs="Arial" w:eastAsia="Arial" w:hAnsi="Arial"/>
          <w:sz w:val="18"/>
          <w:szCs w:val="18"/>
          <w:color w:val="auto"/>
        </w:rPr>
      </w:pPr>
    </w:p>
    <w:p>
      <w:pPr>
        <w:ind w:firstLine="585"/>
        <w:spacing w:after="0" w:line="277" w:lineRule="auto"/>
        <w:tabs>
          <w:tab w:leader="none" w:pos="844" w:val="left"/>
        </w:tabs>
        <w:numPr>
          <w:ilvl w:val="3"/>
          <w:numId w:val="24"/>
        </w:numPr>
        <w:rPr>
          <w:rFonts w:ascii="Arial" w:cs="Arial" w:eastAsia="Arial" w:hAnsi="Arial"/>
          <w:sz w:val="18"/>
          <w:szCs w:val="18"/>
          <w:color w:val="auto"/>
        </w:rPr>
      </w:pPr>
      <w:r>
        <w:rPr>
          <w:rFonts w:ascii="Arial" w:cs="Arial" w:eastAsia="Arial" w:hAnsi="Arial"/>
          <w:sz w:val="18"/>
          <w:szCs w:val="18"/>
          <w:color w:val="auto"/>
        </w:rPr>
        <w:t>all terms used herein without definition which are defined in the Trust Indenture Act, either directly or by reference therein, have the meanings assigned to them therein;</w:t>
      </w:r>
    </w:p>
    <w:p>
      <w:pPr>
        <w:spacing w:after="0" w:line="197" w:lineRule="exact"/>
        <w:rPr>
          <w:rFonts w:ascii="Arial" w:cs="Arial" w:eastAsia="Arial" w:hAnsi="Arial"/>
          <w:sz w:val="18"/>
          <w:szCs w:val="18"/>
          <w:color w:val="auto"/>
        </w:rPr>
      </w:pPr>
    </w:p>
    <w:p>
      <w:pPr>
        <w:ind w:firstLine="497"/>
        <w:spacing w:after="0" w:line="277" w:lineRule="auto"/>
        <w:tabs>
          <w:tab w:leader="none" w:pos="737"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 and</w:t>
      </w:r>
    </w:p>
    <w:p>
      <w:pPr>
        <w:spacing w:after="0" w:line="197" w:lineRule="exact"/>
        <w:rPr>
          <w:rFonts w:ascii="Arial" w:cs="Arial" w:eastAsia="Arial" w:hAnsi="Arial"/>
          <w:sz w:val="18"/>
          <w:szCs w:val="18"/>
          <w:color w:val="auto"/>
        </w:rPr>
      </w:pPr>
    </w:p>
    <w:p>
      <w:pPr>
        <w:ind w:right="20" w:firstLine="521"/>
        <w:spacing w:after="0" w:line="277" w:lineRule="auto"/>
        <w:tabs>
          <w:tab w:leader="none" w:pos="775" w:val="left"/>
        </w:tabs>
        <w:numPr>
          <w:ilvl w:val="2"/>
          <w:numId w:val="24"/>
        </w:numPr>
        <w:rPr>
          <w:rFonts w:ascii="Arial" w:cs="Arial" w:eastAsia="Arial" w:hAnsi="Arial"/>
          <w:sz w:val="18"/>
          <w:szCs w:val="18"/>
          <w:color w:val="auto"/>
        </w:rPr>
      </w:pPr>
      <w:r>
        <w:rPr>
          <w:rFonts w:ascii="Arial" w:cs="Arial" w:eastAsia="Arial" w:hAnsi="Arial"/>
          <w:sz w:val="18"/>
          <w:szCs w:val="18"/>
          <w:color w:val="auto"/>
        </w:rPr>
        <w:t>References to “Article” or “Section” or other subdivision herein are references to an Article, Section or other subdivision of this Indenture, unless the context otherwise requires.</w:t>
      </w:r>
    </w:p>
    <w:p>
      <w:pPr>
        <w:spacing w:after="0" w:line="197"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7"/>
          <w:szCs w:val="17"/>
          <w:u w:val="single" w:color="auto"/>
          <w:color w:val="auto"/>
        </w:rPr>
        <w:t>Definitions.</w:t>
      </w:r>
    </w:p>
    <w:p>
      <w:pPr>
        <w:spacing w:after="0" w:line="252" w:lineRule="exact"/>
        <w:rPr>
          <w:sz w:val="20"/>
          <w:szCs w:val="20"/>
          <w:color w:val="auto"/>
        </w:rPr>
      </w:pPr>
    </w:p>
    <w:p>
      <w:pPr>
        <w:ind w:firstLine="518"/>
        <w:spacing w:after="0" w:line="277" w:lineRule="auto"/>
        <w:tabs>
          <w:tab w:leader="none" w:pos="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Unless otherwise defined in this Indenture or the context otherwise requires, all terms used herein shall have the meanings assigned to them in the Trust Indenture Act.</w:t>
      </w:r>
    </w:p>
    <w:p>
      <w:pPr>
        <w:spacing w:after="0" w:line="197" w:lineRule="exact"/>
        <w:rPr>
          <w:rFonts w:ascii="Arial" w:cs="Arial" w:eastAsia="Arial" w:hAnsi="Arial"/>
          <w:sz w:val="18"/>
          <w:szCs w:val="18"/>
          <w:color w:val="auto"/>
        </w:rPr>
      </w:pPr>
    </w:p>
    <w:p>
      <w:pPr>
        <w:ind w:firstLine="466"/>
        <w:spacing w:after="0" w:line="308" w:lineRule="auto"/>
        <w:tabs>
          <w:tab w:leader="none" w:pos="714" w:val="left"/>
        </w:tabs>
        <w:numPr>
          <w:ilvl w:val="0"/>
          <w:numId w:val="26"/>
        </w:numPr>
        <w:rPr>
          <w:rFonts w:ascii="Arial" w:cs="Arial" w:eastAsia="Arial" w:hAnsi="Arial"/>
          <w:sz w:val="17"/>
          <w:szCs w:val="17"/>
          <w:color w:val="auto"/>
        </w:rPr>
      </w:pPr>
      <w:r>
        <w:rPr>
          <w:rFonts w:ascii="Arial" w:cs="Arial" w:eastAsia="Arial" w:hAnsi="Arial"/>
          <w:sz w:val="17"/>
          <w:szCs w:val="17"/>
          <w:color w:val="auto"/>
        </w:rPr>
        <w:t>Unless the context otherwise requires, the terms defined in this Section 1.01(b) shall for all purposes of this Indenture have the meanings hereinafter set forth, the following definitions to be equally applicable to both the singular and the plural forms of any of the terms herein defined: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Affiliate:</w:t>
      </w:r>
    </w:p>
    <w:p>
      <w:pPr>
        <w:spacing w:after="0" w:line="256" w:lineRule="exact"/>
        <w:rPr>
          <w:sz w:val="20"/>
          <w:szCs w:val="20"/>
          <w:color w:val="auto"/>
        </w:rPr>
      </w:pPr>
    </w:p>
    <w:p>
      <w:pPr>
        <w:jc w:val="both"/>
        <w:ind w:firstLine="471"/>
        <w:spacing w:after="0" w:line="259" w:lineRule="auto"/>
        <w:rPr>
          <w:sz w:val="20"/>
          <w:szCs w:val="20"/>
          <w:color w:val="auto"/>
        </w:rPr>
      </w:pPr>
      <w:r>
        <w:rPr>
          <w:rFonts w:ascii="Arial" w:cs="Arial" w:eastAsia="Arial" w:hAnsi="Arial"/>
          <w:sz w:val="18"/>
          <w:szCs w:val="18"/>
          <w:color w:val="auto"/>
        </w:rPr>
        <w:t>The term “Affiliate,” with respect to any specified Person shall mean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b w:val="1"/>
          <w:bCs w:val="1"/>
          <w:color w:val="auto"/>
        </w:rPr>
        <w:t>Authenticating Agent:</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“Authenticating Agent” shall have the meaning assigned to it in Section 11.09.</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w:t>
      </w:r>
    </w:p>
    <w:p>
      <w:pPr>
        <w:spacing w:after="0" w:line="256" w:lineRule="exact"/>
        <w:rPr>
          <w:sz w:val="20"/>
          <w:szCs w:val="20"/>
          <w:color w:val="auto"/>
        </w:rPr>
      </w:pPr>
    </w:p>
    <w:p>
      <w:pPr>
        <w:jc w:val="both"/>
        <w:ind w:right="20" w:firstLine="570"/>
        <w:spacing w:after="0" w:line="277" w:lineRule="auto"/>
        <w:rPr>
          <w:sz w:val="20"/>
          <w:szCs w:val="20"/>
          <w:color w:val="auto"/>
        </w:rPr>
      </w:pPr>
      <w:r>
        <w:rPr>
          <w:rFonts w:ascii="Arial" w:cs="Arial" w:eastAsia="Arial" w:hAnsi="Arial"/>
          <w:sz w:val="18"/>
          <w:szCs w:val="18"/>
          <w:color w:val="auto"/>
        </w:rPr>
        <w:t>The term “Board of Directors” shall mean either the board of directors of the Company or the executive or any other committee of that board duly authorized to act in respect hereof.</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Resolution:</w:t>
      </w:r>
    </w:p>
    <w:p>
      <w:pPr>
        <w:spacing w:after="0" w:line="256" w:lineRule="exact"/>
        <w:rPr>
          <w:sz w:val="20"/>
          <w:szCs w:val="20"/>
          <w:color w:val="auto"/>
        </w:rPr>
      </w:pPr>
    </w:p>
    <w:p>
      <w:pPr>
        <w:jc w:val="both"/>
        <w:ind w:firstLine="534"/>
        <w:spacing w:after="0" w:line="259" w:lineRule="auto"/>
        <w:rPr>
          <w:sz w:val="20"/>
          <w:szCs w:val="20"/>
          <w:color w:val="auto"/>
        </w:rPr>
      </w:pPr>
      <w:r>
        <w:rPr>
          <w:rFonts w:ascii="Arial" w:cs="Arial" w:eastAsia="Arial" w:hAnsi="Arial"/>
          <w:sz w:val="18"/>
          <w:szCs w:val="18"/>
          <w:color w:val="auto"/>
        </w:rPr>
        <w:t>The term “Board Resolution” shall mean a copy of a resolution or resolutions certified by the Secretary or an Assistant Secretary of the Company to have been duly adopted by the Board of Directors (or by a committee of the Board of Directors to the extent that any such other committee has been authorized by the Board of Directors to establish or approve the matters contemplated) and to be in full force and effect on the date of such certification and delivered to the Trustee.</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Day:</w:t>
      </w:r>
    </w:p>
    <w:p>
      <w:pPr>
        <w:spacing w:after="0" w:line="256" w:lineRule="exact"/>
        <w:rPr>
          <w:sz w:val="20"/>
          <w:szCs w:val="20"/>
          <w:color w:val="auto"/>
        </w:rPr>
      </w:pPr>
    </w:p>
    <w:p>
      <w:pPr>
        <w:jc w:val="both"/>
        <w:ind w:right="20" w:firstLine="620"/>
        <w:spacing w:after="0" w:line="264" w:lineRule="auto"/>
        <w:rPr>
          <w:sz w:val="20"/>
          <w:szCs w:val="20"/>
          <w:color w:val="auto"/>
        </w:rPr>
      </w:pPr>
      <w:r>
        <w:rPr>
          <w:rFonts w:ascii="Arial" w:cs="Arial" w:eastAsia="Arial" w:hAnsi="Arial"/>
          <w:sz w:val="18"/>
          <w:szCs w:val="18"/>
          <w:color w:val="auto"/>
        </w:rPr>
        <w:t>The term “Business Day,” when used with respect to any Place of Payment or any other particular location referred to in this Indenture or in the Securities, shall mean each Monday, Tuesday, Wednesday, Thursday and Friday which is not a day on which banking institutions in that Place of Payment or other location are authorized or obligated by law or executive order to close.</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Capital Stock:</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“Capital Stock” shall mean:</w:t>
      </w:r>
    </w:p>
    <w:p>
      <w:pPr>
        <w:spacing w:after="0" w:line="252" w:lineRule="exact"/>
        <w:rPr>
          <w:sz w:val="20"/>
          <w:szCs w:val="20"/>
          <w:color w:val="auto"/>
        </w:rPr>
      </w:pPr>
    </w:p>
    <w:p>
      <w:pPr>
        <w:ind w:left="700" w:hanging="24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52" w:lineRule="exact"/>
        <w:rPr>
          <w:rFonts w:ascii="Arial" w:cs="Arial" w:eastAsia="Arial" w:hAnsi="Arial"/>
          <w:sz w:val="18"/>
          <w:szCs w:val="18"/>
          <w:color w:val="auto"/>
        </w:rPr>
      </w:pPr>
    </w:p>
    <w:p>
      <w:pPr>
        <w:ind w:right="20" w:firstLine="610"/>
        <w:spacing w:after="0" w:line="277" w:lineRule="auto"/>
        <w:tabs>
          <w:tab w:leader="none" w:pos="872"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97" w:lineRule="exact"/>
        <w:rPr>
          <w:sz w:val="20"/>
          <w:szCs w:val="20"/>
          <w:color w:val="auto"/>
        </w:rPr>
      </w:pPr>
    </w:p>
    <w:p>
      <w:pPr>
        <w:ind w:left="700" w:hanging="24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and</w:t>
      </w:r>
    </w:p>
    <w:p>
      <w:pPr>
        <w:spacing w:after="0" w:line="252" w:lineRule="exact"/>
        <w:rPr>
          <w:rFonts w:ascii="Arial" w:cs="Arial" w:eastAsia="Arial" w:hAnsi="Arial"/>
          <w:sz w:val="18"/>
          <w:szCs w:val="18"/>
          <w:color w:val="auto"/>
        </w:rPr>
      </w:pPr>
    </w:p>
    <w:p>
      <w:pPr>
        <w:jc w:val="both"/>
        <w:ind w:firstLine="533"/>
        <w:spacing w:after="0" w:line="264" w:lineRule="auto"/>
        <w:tabs>
          <w:tab w:leader="none" w:pos="787"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“Code” shall mean the Internal Revenue Code of 1986 as in effect on the date hereof.</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Company:</w:t>
      </w:r>
    </w:p>
    <w:p>
      <w:pPr>
        <w:spacing w:after="0" w:line="256" w:lineRule="exact"/>
        <w:rPr>
          <w:sz w:val="20"/>
          <w:szCs w:val="20"/>
          <w:color w:val="auto"/>
        </w:rPr>
      </w:pPr>
    </w:p>
    <w:p>
      <w:pPr>
        <w:ind w:firstLine="619"/>
        <w:spacing w:after="0" w:line="277" w:lineRule="auto"/>
        <w:rPr>
          <w:sz w:val="20"/>
          <w:szCs w:val="20"/>
          <w:color w:val="auto"/>
        </w:rPr>
      </w:pPr>
      <w:r>
        <w:rPr>
          <w:rFonts w:ascii="Arial" w:cs="Arial" w:eastAsia="Arial" w:hAnsi="Arial"/>
          <w:sz w:val="18"/>
          <w:szCs w:val="18"/>
          <w:color w:val="auto"/>
        </w:rPr>
        <w:t>The term “Company” shall mean the Person named as the “Company” in the first paragraph of this Indenture until a successor Person shall have become such pursuant to the applicable provisions of this Indenture, and thereafter “Company” shall mean such successor Person.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b w:val="1"/>
          <w:bCs w:val="1"/>
          <w:color w:val="auto"/>
        </w:rPr>
        <w:t>Company Order:</w:t>
      </w:r>
    </w:p>
    <w:p>
      <w:pPr>
        <w:spacing w:after="0" w:line="256" w:lineRule="exact"/>
        <w:rPr>
          <w:sz w:val="20"/>
          <w:szCs w:val="20"/>
          <w:color w:val="auto"/>
        </w:rPr>
      </w:pPr>
    </w:p>
    <w:p>
      <w:pPr>
        <w:jc w:val="both"/>
        <w:ind w:firstLine="480"/>
        <w:spacing w:after="0" w:line="264" w:lineRule="auto"/>
        <w:rPr>
          <w:sz w:val="20"/>
          <w:szCs w:val="20"/>
          <w:color w:val="auto"/>
        </w:rPr>
      </w:pPr>
      <w:r>
        <w:rPr>
          <w:rFonts w:ascii="Arial" w:cs="Arial" w:eastAsia="Arial" w:hAnsi="Arial"/>
          <w:sz w:val="18"/>
          <w:szCs w:val="18"/>
          <w:color w:val="auto"/>
        </w:rPr>
        <w:t>The term “Company Order” shall mean a written order signed in the name of the Company by the Chairman, Chief Executive Officer, President, Chief Financial Officer, any Vice President, Treasurer, any Assistant Treasurer, Controller, Assistant Controller, Secretary or any Assistant Secretary of the Company, and delivered to the Trustee.</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Trust Office:</w:t>
      </w:r>
    </w:p>
    <w:p>
      <w:pPr>
        <w:spacing w:after="0" w:line="256" w:lineRule="exact"/>
        <w:rPr>
          <w:sz w:val="20"/>
          <w:szCs w:val="20"/>
          <w:color w:val="auto"/>
        </w:rPr>
      </w:pPr>
    </w:p>
    <w:p>
      <w:pPr>
        <w:jc w:val="both"/>
        <w:ind w:firstLine="455"/>
        <w:spacing w:after="0" w:line="291" w:lineRule="auto"/>
        <w:rPr>
          <w:sz w:val="20"/>
          <w:szCs w:val="20"/>
          <w:color w:val="auto"/>
        </w:rPr>
      </w:pPr>
      <w:r>
        <w:rPr>
          <w:rFonts w:ascii="Arial" w:cs="Arial" w:eastAsia="Arial" w:hAnsi="Arial"/>
          <w:sz w:val="16"/>
          <w:szCs w:val="16"/>
          <w:color w:val="auto"/>
        </w:rPr>
        <w:t>The term “Corporate Trust Office,” or other similar term, shall mean the principal office of the Trustee at which at any particular time its corporate trust business shall be administered, which office at the date hereof is located at [______________], or such other address as the Trustee may designate from time</w:t>
      </w:r>
    </w:p>
    <w:p>
      <w:pPr>
        <w:jc w:val="both"/>
        <w:ind w:right="20"/>
        <w:spacing w:after="0" w:line="261" w:lineRule="auto"/>
        <w:rPr>
          <w:sz w:val="20"/>
          <w:szCs w:val="20"/>
          <w:color w:val="auto"/>
        </w:rPr>
      </w:pPr>
      <w:r>
        <w:rPr>
          <w:rFonts w:ascii="Arial" w:cs="Arial" w:eastAsia="Arial" w:hAnsi="Arial"/>
          <w:sz w:val="18"/>
          <w:szCs w:val="18"/>
          <w:color w:val="auto"/>
        </w:rPr>
        <w:t>to time by notice to the Holders and the Company, or the principal corporate trust officer of any successor Trustee (or such other address as such successor Trustee may designate from time to time by notice to the Holders and the Company).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Currency:</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“Currency” shall mean U.S. Dollars or Foreign Currency.</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Default:</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“Default” shall have the meaning assigned to it in Section 11.03.</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Defaulted Interest:</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“Defaulted Interest” shall have the same meaning assigned to it in Section 3.08(b).</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Depositary:</w:t>
      </w:r>
    </w:p>
    <w:p>
      <w:pPr>
        <w:spacing w:after="0" w:line="256" w:lineRule="exact"/>
        <w:rPr>
          <w:sz w:val="20"/>
          <w:szCs w:val="20"/>
          <w:color w:val="auto"/>
        </w:rPr>
      </w:pPr>
    </w:p>
    <w:p>
      <w:pPr>
        <w:jc w:val="both"/>
        <w:ind w:firstLine="469"/>
        <w:spacing w:after="0" w:line="257" w:lineRule="auto"/>
        <w:rPr>
          <w:sz w:val="20"/>
          <w:szCs w:val="20"/>
          <w:color w:val="auto"/>
        </w:rPr>
      </w:pPr>
      <w:r>
        <w:rPr>
          <w:rFonts w:ascii="Arial" w:cs="Arial" w:eastAsia="Arial" w:hAnsi="Arial"/>
          <w:sz w:val="18"/>
          <w:szCs w:val="18"/>
          <w:color w:val="auto"/>
        </w:rPr>
        <w:t>The term “Depositary” shall mean, with respect to the Securities of any series issuable in whole or in part in the form of one or more Global Securities, the Person designated as Depositary by the Company pursuant to Section 3.01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Designated Currency:</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“Designated Currency” shall have the same meaning assigned to it in Section 3.12.</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Discharged: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“Discharged” shall have the meaning assigned to it in Section 12.03.</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Event of Default:</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shall have the meaning specified in Section 7.01.</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Exchange Act:</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“Exchange Act” shall mean the Securities Exchange Act of 1934, as amended.</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Exchange Rate:</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“Exchange Rate” shall have the meaning assigned to it in Section 7.01.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b w:val="1"/>
          <w:bCs w:val="1"/>
          <w:color w:val="auto"/>
        </w:rPr>
        <w:t>Floating Rate Security:</w:t>
      </w:r>
    </w:p>
    <w:p>
      <w:pPr>
        <w:spacing w:after="0" w:line="256" w:lineRule="exact"/>
        <w:rPr>
          <w:sz w:val="20"/>
          <w:szCs w:val="20"/>
          <w:color w:val="auto"/>
        </w:rPr>
      </w:pPr>
    </w:p>
    <w:p>
      <w:pPr>
        <w:jc w:val="both"/>
        <w:ind w:right="20" w:firstLine="451"/>
        <w:spacing w:after="0" w:line="277" w:lineRule="auto"/>
        <w:rPr>
          <w:sz w:val="20"/>
          <w:szCs w:val="20"/>
          <w:color w:val="auto"/>
        </w:rPr>
      </w:pPr>
      <w:r>
        <w:rPr>
          <w:rFonts w:ascii="Arial" w:cs="Arial" w:eastAsia="Arial" w:hAnsi="Arial"/>
          <w:sz w:val="18"/>
          <w:szCs w:val="18"/>
          <w:color w:val="auto"/>
        </w:rPr>
        <w:t>The term “Floating Rate Security” shall mean a Security that provides for the payment of interest at a variable rate determined periodically by reference to an interest rate index specified pursuant to Section 3.01.</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Foreign Currency:</w:t>
      </w:r>
    </w:p>
    <w:p>
      <w:pPr>
        <w:spacing w:after="0" w:line="256" w:lineRule="exact"/>
        <w:rPr>
          <w:sz w:val="20"/>
          <w:szCs w:val="20"/>
          <w:color w:val="auto"/>
        </w:rPr>
      </w:pPr>
    </w:p>
    <w:p>
      <w:pPr>
        <w:jc w:val="both"/>
        <w:ind w:right="20" w:firstLine="475"/>
        <w:spacing w:after="0" w:line="277" w:lineRule="auto"/>
        <w:rPr>
          <w:sz w:val="20"/>
          <w:szCs w:val="20"/>
          <w:color w:val="auto"/>
        </w:rPr>
      </w:pPr>
      <w:r>
        <w:rPr>
          <w:rFonts w:ascii="Arial" w:cs="Arial" w:eastAsia="Arial" w:hAnsi="Arial"/>
          <w:sz w:val="18"/>
          <w:szCs w:val="18"/>
          <w:color w:val="auto"/>
        </w:rPr>
        <w:t>The term “Foreign Currency” shall mean a currency issued by the government of any country other than the United States or a composite currency, the value of which is determined by reference to the values of the currencies of any group of countries.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GAAP:</w:t>
      </w:r>
    </w:p>
    <w:p>
      <w:pPr>
        <w:spacing w:after="0" w:line="256" w:lineRule="exact"/>
        <w:rPr>
          <w:sz w:val="20"/>
          <w:szCs w:val="20"/>
          <w:color w:val="auto"/>
        </w:rPr>
      </w:pPr>
    </w:p>
    <w:p>
      <w:pPr>
        <w:jc w:val="both"/>
        <w:ind w:firstLine="523"/>
        <w:spacing w:after="0" w:line="279" w:lineRule="auto"/>
        <w:rPr>
          <w:sz w:val="20"/>
          <w:szCs w:val="20"/>
          <w:color w:val="auto"/>
        </w:rPr>
      </w:pPr>
      <w:r>
        <w:rPr>
          <w:rFonts w:ascii="Arial" w:cs="Arial" w:eastAsia="Arial" w:hAnsi="Arial"/>
          <w:sz w:val="17"/>
          <w:szCs w:val="17"/>
          <w:color w:val="auto"/>
        </w:rPr>
        <w:t>The term “GAAP,” with respect to any computation required or permitted hereunder, shall mean generally accepted accounting principles in effect in the United States as in effect from time to time,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Global Security:</w:t>
      </w:r>
    </w:p>
    <w:p>
      <w:pPr>
        <w:spacing w:after="0" w:line="256" w:lineRule="exact"/>
        <w:rPr>
          <w:sz w:val="20"/>
          <w:szCs w:val="20"/>
          <w:color w:val="auto"/>
        </w:rPr>
      </w:pPr>
    </w:p>
    <w:p>
      <w:pPr>
        <w:jc w:val="both"/>
        <w:ind w:firstLine="471"/>
        <w:spacing w:after="0" w:line="277" w:lineRule="auto"/>
        <w:rPr>
          <w:sz w:val="20"/>
          <w:szCs w:val="20"/>
          <w:color w:val="auto"/>
        </w:rPr>
      </w:pPr>
      <w:r>
        <w:rPr>
          <w:rFonts w:ascii="Arial" w:cs="Arial" w:eastAsia="Arial" w:hAnsi="Arial"/>
          <w:sz w:val="18"/>
          <w:szCs w:val="18"/>
          <w:color w:val="auto"/>
        </w:rPr>
        <w:t>The term “Global Security” shall mean any Security that evidences all or part of a series of Securities, issued in fully-registered certificated form to the Depositary for such series in accordance with Section 3.03 and bearing the legend prescribed in Section 3.03(g).</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Holder; Holder of Securities: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“Holder” and “Holder of Securities” are defined under “Securityholder; Holder of Securities; Holder.”</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Indebtedness:</w:t>
      </w:r>
    </w:p>
    <w:p>
      <w:pPr>
        <w:spacing w:after="0" w:line="256"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The term “Indebtedness” shall mean any and all obligations of a Person for money borrowed which, in accordance with GAAP, would be reflected on the balance sheet of such Person as a liability on the date as of which Indebtedness is to be determined.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Indenture:</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“Indenture” or “this Indenture” shall mean this instrument and all indentures supplemental hereto.</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w:t>
      </w:r>
    </w:p>
    <w:p>
      <w:pPr>
        <w:spacing w:after="0" w:line="256" w:lineRule="exact"/>
        <w:rPr>
          <w:sz w:val="20"/>
          <w:szCs w:val="20"/>
          <w:color w:val="auto"/>
        </w:rPr>
      </w:pPr>
    </w:p>
    <w:p>
      <w:pPr>
        <w:jc w:val="both"/>
        <w:ind w:firstLine="496"/>
        <w:spacing w:after="0" w:line="277" w:lineRule="auto"/>
        <w:rPr>
          <w:sz w:val="20"/>
          <w:szCs w:val="20"/>
          <w:color w:val="auto"/>
        </w:rPr>
      </w:pPr>
      <w:r>
        <w:rPr>
          <w:rFonts w:ascii="Arial" w:cs="Arial" w:eastAsia="Arial" w:hAnsi="Arial"/>
          <w:sz w:val="18"/>
          <w:szCs w:val="18"/>
          <w:color w:val="auto"/>
        </w:rPr>
        <w:t>The term “interest” shall mean, with respect to an Original Issue Discount Security that by its terms bears interest only after Maturity, interest payable after Maturity.</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Payment Date:</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term “Interest Payment Date” shall mean, with respect to any Security, the Stated Maturity of an installment of interest on such Security.</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Mandatory Sinking Fund Payment:</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“Mandatory Sinking Fund Payment” shall have the meaning assigned to it in Section 5.01.</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ind w:left="460"/>
        <w:spacing w:after="0"/>
        <w:rPr>
          <w:sz w:val="20"/>
          <w:szCs w:val="20"/>
          <w:color w:val="auto"/>
        </w:rPr>
      </w:pPr>
      <w:r>
        <w:rPr>
          <w:rFonts w:ascii="Arial" w:cs="Arial" w:eastAsia="Arial" w:hAnsi="Arial"/>
          <w:sz w:val="18"/>
          <w:szCs w:val="18"/>
          <w:b w:val="1"/>
          <w:bCs w:val="1"/>
          <w:color w:val="auto"/>
        </w:rPr>
        <w:t>Maturity:</w:t>
      </w:r>
    </w:p>
    <w:p>
      <w:pPr>
        <w:spacing w:after="0" w:line="256" w:lineRule="exact"/>
        <w:rPr>
          <w:sz w:val="20"/>
          <w:szCs w:val="20"/>
          <w:color w:val="auto"/>
        </w:rPr>
      </w:pPr>
    </w:p>
    <w:p>
      <w:pPr>
        <w:jc w:val="both"/>
        <w:ind w:right="20" w:firstLine="474"/>
        <w:spacing w:after="0" w:line="277" w:lineRule="auto"/>
        <w:rPr>
          <w:sz w:val="20"/>
          <w:szCs w:val="20"/>
          <w:color w:val="auto"/>
        </w:rPr>
      </w:pPr>
      <w:r>
        <w:rPr>
          <w:rFonts w:ascii="Arial" w:cs="Arial" w:eastAsia="Arial" w:hAnsi="Arial"/>
          <w:sz w:val="18"/>
          <w:szCs w:val="18"/>
          <w:color w:val="auto"/>
        </w:rPr>
        <w:t>The term “Maturity,” with respect to any Security, shall mean the date on which the principal of such Security shall become due and payable as therein and herein provided, whether by declaration, call for redemption or otherwise.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Members: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“Members” shall have the meaning assigned to it in Section 3.03(i).</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Officer’s Certificate:</w:t>
      </w:r>
    </w:p>
    <w:p>
      <w:pPr>
        <w:spacing w:after="0" w:line="256"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8"/>
          <w:szCs w:val="18"/>
          <w:color w:val="auto"/>
        </w:rPr>
        <w:t>The term “Officer’s Certificate” shall mean a certificate signed by any of the Chairman of the Board of Directors, Chief Executive Officer, President, Chief Financial Officer, any Vice President, Treasurer, any Assistant Treasurer, Controller, Assistant Controller, Secretary or any Assistant Secretary of the Company and delivered to the Trustee. Each such certificate shall include the statements provided for in Section 15.01 if and to the extent required by the provisions of such Section.</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of Counsel:</w:t>
      </w:r>
    </w:p>
    <w:p>
      <w:pPr>
        <w:spacing w:after="0" w:line="256" w:lineRule="exact"/>
        <w:rPr>
          <w:sz w:val="20"/>
          <w:szCs w:val="20"/>
          <w:color w:val="auto"/>
        </w:rPr>
      </w:pPr>
    </w:p>
    <w:p>
      <w:pPr>
        <w:jc w:val="both"/>
        <w:ind w:firstLine="458"/>
        <w:spacing w:after="0" w:line="277" w:lineRule="auto"/>
        <w:rPr>
          <w:sz w:val="20"/>
          <w:szCs w:val="20"/>
          <w:color w:val="auto"/>
        </w:rPr>
      </w:pPr>
      <w:r>
        <w:rPr>
          <w:rFonts w:ascii="Arial" w:cs="Arial" w:eastAsia="Arial" w:hAnsi="Arial"/>
          <w:sz w:val="18"/>
          <w:szCs w:val="18"/>
          <w:color w:val="auto"/>
        </w:rPr>
        <w:t>The term “Opinion of Counsel” shall mean an opinion in writing signed by legal counsel, who may be an employee of or of counsel to the Company, or may be other counsel that meets the requirements provided for in Section 15.01.</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Optional Sinking Fund Payment:</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“Optional Sinking Fund Payment” shall have the meaning assigned to it in Section 5.01.</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Original Issue Discount Security:</w:t>
      </w:r>
    </w:p>
    <w:p>
      <w:pPr>
        <w:spacing w:after="0" w:line="256"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18"/>
          <w:szCs w:val="18"/>
          <w:color w:val="auto"/>
        </w:rPr>
        <w:t>The term “Original Issue Discount Security” shall mean any Security that is issued with “original issue discount” within the meaning of Section 1273(a) of the Code and the regulations thereunder and any other Security designated by the Company as issued with original issue discount for United States federal income tax purposes.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Outstanding:</w:t>
      </w:r>
    </w:p>
    <w:p>
      <w:pPr>
        <w:spacing w:after="0" w:line="256" w:lineRule="exact"/>
        <w:rPr>
          <w:sz w:val="20"/>
          <w:szCs w:val="20"/>
          <w:color w:val="auto"/>
        </w:rPr>
      </w:pPr>
    </w:p>
    <w:p>
      <w:pPr>
        <w:jc w:val="both"/>
        <w:ind w:firstLine="631"/>
        <w:spacing w:after="0" w:line="277" w:lineRule="auto"/>
        <w:rPr>
          <w:sz w:val="20"/>
          <w:szCs w:val="20"/>
          <w:color w:val="auto"/>
        </w:rPr>
      </w:pPr>
      <w:r>
        <w:rPr>
          <w:rFonts w:ascii="Arial" w:cs="Arial" w:eastAsia="Arial" w:hAnsi="Arial"/>
          <w:sz w:val="18"/>
          <w:szCs w:val="18"/>
          <w:color w:val="auto"/>
        </w:rPr>
        <w:t>The term “Outstanding,” when used with respect to Securities means, as of the date of determination, all Securities theretofore authenticated and delivered under this Indenture, except:</w:t>
      </w:r>
    </w:p>
    <w:p>
      <w:pPr>
        <w:spacing w:after="0" w:line="197" w:lineRule="exact"/>
        <w:rPr>
          <w:sz w:val="20"/>
          <w:szCs w:val="20"/>
          <w:color w:val="auto"/>
        </w:rPr>
      </w:pPr>
    </w:p>
    <w:p>
      <w:pPr>
        <w:ind w:left="700" w:hanging="242"/>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252" w:lineRule="exact"/>
        <w:rPr>
          <w:rFonts w:ascii="Arial" w:cs="Arial" w:eastAsia="Arial" w:hAnsi="Arial"/>
          <w:sz w:val="18"/>
          <w:szCs w:val="18"/>
          <w:color w:val="auto"/>
        </w:rPr>
      </w:pPr>
    </w:p>
    <w:p>
      <w:pPr>
        <w:jc w:val="both"/>
        <w:ind w:firstLine="517"/>
        <w:spacing w:after="0" w:line="257" w:lineRule="auto"/>
        <w:tabs>
          <w:tab w:leader="none" w:pos="77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Securities or portions thereof for which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or Securities as to which the Company’s obligations have been Discharged; provided, however, that if such Securities or portions thereof are to be redeemed, notice of such redemption has been duly given pursuant to this Indenture or provision therefor satisfactory to the Trustee has been made; and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jc w:val="both"/>
        <w:ind w:firstLine="629"/>
        <w:spacing w:after="0" w:line="268" w:lineRule="auto"/>
        <w:tabs>
          <w:tab w:leader="none" w:pos="883" w:val="left"/>
        </w:tabs>
        <w:numPr>
          <w:ilvl w:val="0"/>
          <w:numId w:val="30"/>
        </w:numPr>
        <w:rPr>
          <w:rFonts w:ascii="Arial" w:cs="Arial" w:eastAsia="Arial" w:hAnsi="Arial"/>
          <w:sz w:val="17"/>
          <w:szCs w:val="17"/>
          <w:color w:val="auto"/>
        </w:rPr>
      </w:pPr>
      <w:r>
        <w:rPr>
          <w:rFonts w:ascii="Arial" w:cs="Arial" w:eastAsia="Arial" w:hAnsi="Arial"/>
          <w:sz w:val="17"/>
          <w:szCs w:val="17"/>
          <w:color w:val="auto"/>
        </w:rPr>
        <w:t>Securities that have been paid pursuant to Section 3.07(b) or in exchange for or in lieu of which other Securities have been authenticated and delivered pursuant to this Indenture, other than any such Securities in respect of which there shall have been presented to a Responsible Officer of the Trustee proof satisfactory to it that such Securities are held by a protected purchaser in whose hands such Securities are valid obligations of the Company; provided, however, that in determining whether the Holders of the requisite principal amount of Securities of a series Outstanding have performed any action hereunder, Securities owned by the Company or any other obligor upon the Securities of such series or any Affiliate of the Company or of such other obligor shall be disregarded and deemed not to be Outstanding, except that, in determining whether the Trustee shall be protected in relying upon any such action, only Securities of such series that a Responsible Officer of the Trustee actually knows to be so owned shall be so disregarded. Securities so owned that have been pledged in good faith may be regarded as Outstanding if the pledgee establishes to the satisfaction of the Trustee the pledgee’s right to act with respect to such Securities and that the pledgee is not the Company or any other obligor upon such Securities or any Affiliate of the Company or of such other obligor. In determining whether the Holders of the requisite principal amount of Outstanding Securities of a series have performed any action hereunder, the principal amount of an Original Issue Discount Security that shall be deemed to be Outstanding for such purpose shall be the amount of the principal thereof that would be due and payable as of the date of such determination upon a declaration of acceleration of the Maturity thereof pursuant to Section 7.02 and the principal amount of a Security denominated in a Foreign Currency that shall be deemed to be Outstanding for such purpose shall be the amount calculated pursuant to Section 3.11(b).</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Paying Agent:</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“Paying Agent” shall have the meaning assigned to it in Section 6.02(a).</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Person:</w:t>
      </w:r>
    </w:p>
    <w:p>
      <w:pPr>
        <w:spacing w:after="0" w:line="256" w:lineRule="exact"/>
        <w:rPr>
          <w:sz w:val="20"/>
          <w:szCs w:val="20"/>
          <w:color w:val="auto"/>
        </w:rPr>
      </w:pPr>
    </w:p>
    <w:p>
      <w:pPr>
        <w:jc w:val="both"/>
        <w:ind w:firstLine="492"/>
        <w:spacing w:after="0" w:line="277" w:lineRule="auto"/>
        <w:rPr>
          <w:sz w:val="20"/>
          <w:szCs w:val="20"/>
          <w:color w:val="auto"/>
        </w:rPr>
      </w:pPr>
      <w:r>
        <w:rPr>
          <w:rFonts w:ascii="Arial" w:cs="Arial" w:eastAsia="Arial" w:hAnsi="Arial"/>
          <w:sz w:val="18"/>
          <w:szCs w:val="18"/>
          <w:color w:val="auto"/>
        </w:rPr>
        <w:t>The term “Person” shall mean an individual, a corporation, a limited liability company, a partnership, an association, a joint stock company, a trust, an unincorporated organization or a government or an agency or political subdivision thereof.</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Place of Payment:</w:t>
      </w:r>
    </w:p>
    <w:p>
      <w:pPr>
        <w:spacing w:after="0" w:line="256" w:lineRule="exact"/>
        <w:rPr>
          <w:sz w:val="20"/>
          <w:szCs w:val="20"/>
          <w:color w:val="auto"/>
        </w:rPr>
      </w:pPr>
    </w:p>
    <w:p>
      <w:pPr>
        <w:jc w:val="both"/>
        <w:ind w:firstLine="655"/>
        <w:spacing w:after="0" w:line="277" w:lineRule="auto"/>
        <w:rPr>
          <w:sz w:val="20"/>
          <w:szCs w:val="20"/>
          <w:color w:val="auto"/>
        </w:rPr>
      </w:pPr>
      <w:r>
        <w:rPr>
          <w:rFonts w:ascii="Arial" w:cs="Arial" w:eastAsia="Arial" w:hAnsi="Arial"/>
          <w:sz w:val="18"/>
          <w:szCs w:val="18"/>
          <w:color w:val="auto"/>
        </w:rPr>
        <w:t>The term “Place of Payment” shall mean, when used with respect to the Securities of any series, the place or places where the principal of and premium, if any, and interest on the Securities of that series are payable as specified pursuant to Section 3.01.</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Predecessor Security:</w:t>
      </w:r>
    </w:p>
    <w:p>
      <w:pPr>
        <w:spacing w:after="0" w:line="256" w:lineRule="exact"/>
        <w:rPr>
          <w:sz w:val="20"/>
          <w:szCs w:val="20"/>
          <w:color w:val="auto"/>
        </w:rPr>
      </w:pPr>
    </w:p>
    <w:p>
      <w:pPr>
        <w:jc w:val="both"/>
        <w:ind w:firstLine="506"/>
        <w:spacing w:after="0" w:line="264" w:lineRule="auto"/>
        <w:rPr>
          <w:sz w:val="20"/>
          <w:szCs w:val="20"/>
          <w:color w:val="auto"/>
        </w:rPr>
      </w:pPr>
      <w:r>
        <w:rPr>
          <w:rFonts w:ascii="Arial" w:cs="Arial" w:eastAsia="Arial" w:hAnsi="Arial"/>
          <w:sz w:val="18"/>
          <w:szCs w:val="18"/>
          <w:color w:val="auto"/>
        </w:rPr>
        <w:t>The term “Predecessor Security” shall mean, with respect to any Security, every previous Security evidencing all or a portion of the same debt as that evidenced by such particular Security, and, for the purposes of this definition, any Security authenticated and delivered under Section 3.07 in lieu of a lost, destroyed or stolen Security shall be deemed to evidence the same debt as the lost, destroyed or stolen Security.</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Record Date:</w:t>
      </w:r>
    </w:p>
    <w:p>
      <w:pPr>
        <w:spacing w:after="0" w:line="256" w:lineRule="exact"/>
        <w:rPr>
          <w:sz w:val="20"/>
          <w:szCs w:val="20"/>
          <w:color w:val="auto"/>
        </w:rPr>
      </w:pPr>
    </w:p>
    <w:p>
      <w:pPr>
        <w:jc w:val="both"/>
        <w:ind w:firstLine="528"/>
        <w:spacing w:after="0" w:line="277" w:lineRule="auto"/>
        <w:rPr>
          <w:sz w:val="20"/>
          <w:szCs w:val="20"/>
          <w:color w:val="auto"/>
        </w:rPr>
      </w:pPr>
      <w:r>
        <w:rPr>
          <w:rFonts w:ascii="Arial" w:cs="Arial" w:eastAsia="Arial" w:hAnsi="Arial"/>
          <w:sz w:val="18"/>
          <w:szCs w:val="18"/>
          <w:color w:val="auto"/>
        </w:rPr>
        <w:t>The term “Record Date” shall mean, with respect to any interest payable on any Security on any Interest Payment Date, the close of business on any date specified in such Security for the payment of interest pursuant to Section 3.01.</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Redemption Date:</w:t>
      </w:r>
    </w:p>
    <w:p>
      <w:pPr>
        <w:spacing w:after="0" w:line="256" w:lineRule="exact"/>
        <w:rPr>
          <w:sz w:val="20"/>
          <w:szCs w:val="20"/>
          <w:color w:val="auto"/>
        </w:rPr>
      </w:pPr>
    </w:p>
    <w:p>
      <w:pPr>
        <w:jc w:val="both"/>
        <w:ind w:firstLine="686"/>
        <w:spacing w:after="0" w:line="264" w:lineRule="auto"/>
        <w:rPr>
          <w:sz w:val="20"/>
          <w:szCs w:val="20"/>
          <w:color w:val="auto"/>
        </w:rPr>
      </w:pPr>
      <w:r>
        <w:rPr>
          <w:rFonts w:ascii="Arial" w:cs="Arial" w:eastAsia="Arial" w:hAnsi="Arial"/>
          <w:sz w:val="18"/>
          <w:szCs w:val="18"/>
          <w:color w:val="auto"/>
        </w:rPr>
        <w:t>The term “Redemption Date” shall mean, when used with respect to any Security to be redeemed, in whole or in part, the date fixed for such redemption by or pursuant to this Indenture and the terms of such Security, which, in the case of a Floating Rate Security, unless otherwise specified pursuant to Section 3.01, shall be an Interest Payment Date only.</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Redemption Price:</w:t>
      </w:r>
    </w:p>
    <w:p>
      <w:pPr>
        <w:spacing w:after="0" w:line="256" w:lineRule="exact"/>
        <w:rPr>
          <w:sz w:val="20"/>
          <w:szCs w:val="20"/>
          <w:color w:val="auto"/>
        </w:rPr>
      </w:pPr>
    </w:p>
    <w:p>
      <w:pPr>
        <w:jc w:val="both"/>
        <w:ind w:firstLine="561"/>
        <w:spacing w:after="0" w:line="277" w:lineRule="auto"/>
        <w:rPr>
          <w:sz w:val="20"/>
          <w:szCs w:val="20"/>
          <w:color w:val="auto"/>
        </w:rPr>
      </w:pPr>
      <w:r>
        <w:rPr>
          <w:rFonts w:ascii="Arial" w:cs="Arial" w:eastAsia="Arial" w:hAnsi="Arial"/>
          <w:sz w:val="18"/>
          <w:szCs w:val="18"/>
          <w:color w:val="auto"/>
        </w:rPr>
        <w:t>The term “Redemption Price,” when used with respect to any Security to be redeemed, in whole or in part, shall mean the price at which it is to be redeemed pursuant to the terms of the Security and this Indenture.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ind w:left="460"/>
        <w:spacing w:after="0"/>
        <w:rPr>
          <w:sz w:val="20"/>
          <w:szCs w:val="20"/>
          <w:color w:val="auto"/>
        </w:rPr>
      </w:pPr>
      <w:r>
        <w:rPr>
          <w:rFonts w:ascii="Arial" w:cs="Arial" w:eastAsia="Arial" w:hAnsi="Arial"/>
          <w:sz w:val="18"/>
          <w:szCs w:val="18"/>
          <w:b w:val="1"/>
          <w:bCs w:val="1"/>
          <w:color w:val="auto"/>
        </w:rPr>
        <w:t>Register:</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“Register” shall have the meaning assigned to it in Section 3.05(a).</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Registrar:</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“Registrar” shall have the meaning assigned to it in Section 3.05(a).</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Responsible Officers:</w:t>
      </w:r>
    </w:p>
    <w:p>
      <w:pPr>
        <w:spacing w:after="0" w:line="256" w:lineRule="exact"/>
        <w:rPr>
          <w:sz w:val="20"/>
          <w:szCs w:val="20"/>
          <w:color w:val="auto"/>
        </w:rPr>
      </w:pPr>
    </w:p>
    <w:p>
      <w:pPr>
        <w:jc w:val="both"/>
        <w:ind w:firstLine="551"/>
        <w:spacing w:after="0" w:line="257" w:lineRule="auto"/>
        <w:rPr>
          <w:sz w:val="20"/>
          <w:szCs w:val="20"/>
          <w:color w:val="auto"/>
        </w:rPr>
      </w:pPr>
      <w:r>
        <w:rPr>
          <w:rFonts w:ascii="Arial" w:cs="Arial" w:eastAsia="Arial" w:hAnsi="Arial"/>
          <w:sz w:val="18"/>
          <w:szCs w:val="18"/>
          <w:color w:val="auto"/>
        </w:rPr>
        <w:t>The term “Responsible Officers” of the Trustee hereunder shall mean any vice president, any assistant vice president, any trust officer, any assistant trust officer or any other officer associated with the corporate trust department of the Trustee customarily performing functions similar to those performed by any of the above designated officers, and also means, with respect to a particular corporate trust matter, any other officer of the Trustee to whom such matter is referred because of such person’s knowledge of and familiarity with the particular subject and who shall have direct responsibility for the administration of this Indenture.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“SEC” shall mean the U.S. Securities and Exchange Commission, as constituted from time to time.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Security:</w:t>
      </w:r>
    </w:p>
    <w:p>
      <w:pPr>
        <w:spacing w:after="0" w:line="256" w:lineRule="exact"/>
        <w:rPr>
          <w:sz w:val="20"/>
          <w:szCs w:val="20"/>
          <w:color w:val="auto"/>
        </w:rPr>
      </w:pPr>
    </w:p>
    <w:p>
      <w:pPr>
        <w:jc w:val="both"/>
        <w:ind w:right="20" w:firstLine="534"/>
        <w:spacing w:after="0" w:line="277" w:lineRule="auto"/>
        <w:rPr>
          <w:sz w:val="20"/>
          <w:szCs w:val="20"/>
          <w:color w:val="auto"/>
        </w:rPr>
      </w:pPr>
      <w:r>
        <w:rPr>
          <w:rFonts w:ascii="Arial" w:cs="Arial" w:eastAsia="Arial" w:hAnsi="Arial"/>
          <w:sz w:val="18"/>
          <w:szCs w:val="18"/>
          <w:color w:val="auto"/>
        </w:rPr>
        <w:t>The term “Security” or “Securities” shall have the meaning stated in the recitals and shall more particularly mean one or more of the Securities duly authenticated by the Trustee and delivered pursuant to the provisions of this Indenture.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Security Custodian:</w:t>
      </w:r>
    </w:p>
    <w:p>
      <w:pPr>
        <w:spacing w:after="0" w:line="256" w:lineRule="exact"/>
        <w:rPr>
          <w:sz w:val="20"/>
          <w:szCs w:val="20"/>
          <w:color w:val="auto"/>
        </w:rPr>
      </w:pPr>
    </w:p>
    <w:p>
      <w:pPr>
        <w:jc w:val="both"/>
        <w:ind w:firstLine="586"/>
        <w:spacing w:after="0" w:line="277" w:lineRule="auto"/>
        <w:rPr>
          <w:sz w:val="20"/>
          <w:szCs w:val="20"/>
          <w:color w:val="auto"/>
        </w:rPr>
      </w:pPr>
      <w:r>
        <w:rPr>
          <w:rFonts w:ascii="Arial" w:cs="Arial" w:eastAsia="Arial" w:hAnsi="Arial"/>
          <w:sz w:val="18"/>
          <w:szCs w:val="18"/>
          <w:color w:val="auto"/>
        </w:rPr>
        <w:t>The term “Security Custodian” shall mean the custodian with respect to any Global Security appointed by the Depositary, or any successor Person thereto, and shall initially be the Paying Agent.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Securityholder; Holder of Securities; Holder:</w:t>
      </w:r>
    </w:p>
    <w:p>
      <w:pPr>
        <w:spacing w:after="0" w:line="256" w:lineRule="exact"/>
        <w:rPr>
          <w:sz w:val="20"/>
          <w:szCs w:val="20"/>
          <w:color w:val="auto"/>
        </w:rPr>
      </w:pPr>
    </w:p>
    <w:p>
      <w:pPr>
        <w:jc w:val="both"/>
        <w:ind w:firstLine="544"/>
        <w:spacing w:after="0" w:line="277" w:lineRule="auto"/>
        <w:rPr>
          <w:sz w:val="20"/>
          <w:szCs w:val="20"/>
          <w:color w:val="auto"/>
        </w:rPr>
      </w:pPr>
      <w:r>
        <w:rPr>
          <w:rFonts w:ascii="Arial" w:cs="Arial" w:eastAsia="Arial" w:hAnsi="Arial"/>
          <w:sz w:val="18"/>
          <w:szCs w:val="18"/>
          <w:color w:val="auto"/>
        </w:rPr>
        <w:t>The term “Securityholder” or “Holder of Securities” or “Holder,” shall mean the Person in whose name Securities shall be registered in the Register kept for that purpose hereunder.</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Special Record Date:</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“Special Record Date” shall have the meaning assigned to it in Section 3.08(b)(i).</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Stated Maturity:</w:t>
      </w:r>
    </w:p>
    <w:p>
      <w:pPr>
        <w:spacing w:after="0" w:line="256" w:lineRule="exact"/>
        <w:rPr>
          <w:sz w:val="20"/>
          <w:szCs w:val="20"/>
          <w:color w:val="auto"/>
        </w:rPr>
      </w:pPr>
    </w:p>
    <w:p>
      <w:pPr>
        <w:jc w:val="both"/>
        <w:ind w:firstLine="459"/>
        <w:spacing w:after="0" w:line="342" w:lineRule="auto"/>
        <w:rPr>
          <w:sz w:val="20"/>
          <w:szCs w:val="20"/>
          <w:color w:val="auto"/>
        </w:rPr>
      </w:pPr>
      <w:r>
        <w:rPr>
          <w:rFonts w:ascii="Arial" w:cs="Arial" w:eastAsia="Arial" w:hAnsi="Arial"/>
          <w:sz w:val="16"/>
          <w:szCs w:val="16"/>
          <w:color w:val="auto"/>
        </w:rPr>
        <w:t>The term “Stated Maturity” when used with respect to any Security or any installment of interest thereon, shall mean the date specified in such Security as the fixed date on which the principal (or any portion thereof) of or premium, if any, on such Security or such installment of interest is due and payable.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b w:val="1"/>
          <w:bCs w:val="1"/>
          <w:color w:val="auto"/>
        </w:rPr>
        <w:t>Subsidiary:</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“Subsidiary,” when used with respect to any Person, shall mean:</w:t>
      </w:r>
    </w:p>
    <w:p>
      <w:pPr>
        <w:spacing w:after="0" w:line="252" w:lineRule="exact"/>
        <w:rPr>
          <w:sz w:val="20"/>
          <w:szCs w:val="20"/>
          <w:color w:val="auto"/>
        </w:rPr>
      </w:pPr>
    </w:p>
    <w:p>
      <w:pPr>
        <w:jc w:val="both"/>
        <w:ind w:firstLine="622"/>
        <w:spacing w:after="0" w:line="302" w:lineRule="auto"/>
        <w:tabs>
          <w:tab w:leader="none" w:pos="875" w:val="left"/>
        </w:tabs>
        <w:numPr>
          <w:ilvl w:val="1"/>
          <w:numId w:val="31"/>
        </w:numPr>
        <w:rPr>
          <w:rFonts w:ascii="Arial" w:cs="Arial" w:eastAsia="Arial" w:hAnsi="Arial"/>
          <w:sz w:val="16"/>
          <w:szCs w:val="16"/>
          <w:color w:val="auto"/>
        </w:rPr>
      </w:pPr>
      <w:r>
        <w:rPr>
          <w:rFonts w:ascii="Arial" w:cs="Arial" w:eastAsia="Arial" w:hAnsi="Arial"/>
          <w:sz w:val="16"/>
          <w:szCs w:val="16"/>
          <w:color w:val="auto"/>
        </w:rPr>
        <w:t>any corporation, limited liability company,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1" w:lineRule="exact"/>
        <w:rPr>
          <w:rFonts w:ascii="Arial" w:cs="Arial" w:eastAsia="Arial" w:hAnsi="Arial"/>
          <w:sz w:val="16"/>
          <w:szCs w:val="16"/>
          <w:color w:val="auto"/>
        </w:rPr>
      </w:pPr>
    </w:p>
    <w:p>
      <w:pPr>
        <w:ind w:firstLine="516"/>
        <w:spacing w:after="0" w:line="277" w:lineRule="auto"/>
        <w:tabs>
          <w:tab w:leader="none" w:pos="76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partnership (i) the sole general partner or the managing general partner of which is such Person or a Subsidiary of such Person or (ii) the only general partners of which are that Person or one or more Subsidiaries of that Person (or any combination thereof).</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Successor Company:</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“Successor Company” shall have the meaning assigned to it in Section 3.06(i).</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Trust Indenture Act:</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“Trust Indenture Act” shall mean the Trust Indenture Act of 1939, as amended.</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Trustee:</w:t>
      </w:r>
    </w:p>
    <w:p>
      <w:pPr>
        <w:spacing w:after="0" w:line="256" w:lineRule="exact"/>
        <w:rPr>
          <w:sz w:val="20"/>
          <w:szCs w:val="20"/>
          <w:color w:val="auto"/>
        </w:rPr>
      </w:pPr>
    </w:p>
    <w:p>
      <w:pPr>
        <w:jc w:val="both"/>
        <w:ind w:firstLine="522"/>
        <w:spacing w:after="0" w:line="259" w:lineRule="auto"/>
        <w:rPr>
          <w:sz w:val="20"/>
          <w:szCs w:val="20"/>
          <w:color w:val="auto"/>
        </w:rPr>
      </w:pPr>
      <w:r>
        <w:rPr>
          <w:rFonts w:ascii="Arial" w:cs="Arial" w:eastAsia="Arial" w:hAnsi="Arial"/>
          <w:sz w:val="18"/>
          <w:szCs w:val="18"/>
          <w:color w:val="auto"/>
        </w:rPr>
        <w:t>The term “Trustee” shall mean the Person named as the “Trustee” in the first paragraph of this Indenture until a successor Trustee shall have become such with respect to one or more series of Securities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Dollars:</w:t>
      </w:r>
    </w:p>
    <w:p>
      <w:pPr>
        <w:spacing w:after="0" w:line="256" w:lineRule="exact"/>
        <w:rPr>
          <w:sz w:val="20"/>
          <w:szCs w:val="20"/>
          <w:color w:val="auto"/>
        </w:rPr>
      </w:pPr>
    </w:p>
    <w:p>
      <w:pPr>
        <w:jc w:val="both"/>
        <w:ind w:firstLine="538"/>
        <w:spacing w:after="0" w:line="277" w:lineRule="auto"/>
        <w:rPr>
          <w:sz w:val="20"/>
          <w:szCs w:val="20"/>
          <w:color w:val="auto"/>
        </w:rPr>
      </w:pPr>
      <w:r>
        <w:rPr>
          <w:rFonts w:ascii="Arial" w:cs="Arial" w:eastAsia="Arial" w:hAnsi="Arial"/>
          <w:sz w:val="18"/>
          <w:szCs w:val="18"/>
          <w:color w:val="auto"/>
        </w:rPr>
        <w:t>The term “U.S. Dollars” shall mean such currency of the United States as at the time of payment shall be legal tender for the payment of public and private debts.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Government Obligations:</w:t>
      </w:r>
    </w:p>
    <w:p>
      <w:pPr>
        <w:spacing w:after="0" w:line="256" w:lineRule="exact"/>
        <w:rPr>
          <w:sz w:val="20"/>
          <w:szCs w:val="20"/>
          <w:color w:val="auto"/>
        </w:rPr>
      </w:pPr>
    </w:p>
    <w:p>
      <w:pPr>
        <w:jc w:val="both"/>
        <w:ind w:firstLine="527"/>
        <w:spacing w:after="0" w:line="264" w:lineRule="auto"/>
        <w:rPr>
          <w:sz w:val="20"/>
          <w:szCs w:val="20"/>
          <w:color w:val="auto"/>
        </w:rPr>
      </w:pPr>
      <w:r>
        <w:rPr>
          <w:rFonts w:ascii="Arial" w:cs="Arial" w:eastAsia="Arial" w:hAnsi="Arial"/>
          <w:sz w:val="18"/>
          <w:szCs w:val="18"/>
          <w:color w:val="auto"/>
        </w:rPr>
        <w:t>The term “U.S. Government Obligations” shall mean (i) direct non-callable obligations of, or guaranteed by, the United States or (ii) obligations of a Person controlled or supervised by and acting as an agency or instrumentality of the United States, in either case, for the payment of which guarantee or obligation the full faith and credit of the United States is pledged.</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United States:</w:t>
      </w:r>
    </w:p>
    <w:p>
      <w:pPr>
        <w:spacing w:after="0" w:line="256" w:lineRule="exact"/>
        <w:rPr>
          <w:sz w:val="20"/>
          <w:szCs w:val="20"/>
          <w:color w:val="auto"/>
        </w:rPr>
      </w:pPr>
    </w:p>
    <w:p>
      <w:pPr>
        <w:jc w:val="both"/>
        <w:ind w:firstLine="471"/>
        <w:spacing w:after="0" w:line="277" w:lineRule="auto"/>
        <w:rPr>
          <w:sz w:val="20"/>
          <w:szCs w:val="20"/>
          <w:color w:val="auto"/>
        </w:rPr>
      </w:pPr>
      <w:r>
        <w:rPr>
          <w:rFonts w:ascii="Arial" w:cs="Arial" w:eastAsia="Arial" w:hAnsi="Arial"/>
          <w:sz w:val="18"/>
          <w:szCs w:val="18"/>
          <w:color w:val="auto"/>
        </w:rPr>
        <w:t>The term “United States” shall mean the United States of America (including the States and the District of Columbia), its territories and its possessions and other areas subject to its jurisdiction.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ARTICLE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FORMS OF SECURITIES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Terms of the Securities</w:t>
      </w:r>
      <w:r>
        <w:rPr>
          <w:rFonts w:ascii="Arial" w:cs="Arial" w:eastAsia="Arial" w:hAnsi="Arial"/>
          <w:sz w:val="18"/>
          <w:szCs w:val="18"/>
          <w:color w:val="auto"/>
        </w:rPr>
        <w:t>.</w:t>
      </w:r>
    </w:p>
    <w:p>
      <w:pPr>
        <w:spacing w:after="0" w:line="252" w:lineRule="exact"/>
        <w:rPr>
          <w:sz w:val="20"/>
          <w:szCs w:val="20"/>
          <w:color w:val="auto"/>
        </w:rPr>
      </w:pPr>
    </w:p>
    <w:p>
      <w:pPr>
        <w:jc w:val="both"/>
        <w:ind w:firstLine="503"/>
        <w:spacing w:after="0" w:line="255" w:lineRule="auto"/>
        <w:tabs>
          <w:tab w:leader="none" w:pos="741"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Securities of each series shall be substantially in the form set forth in a Company Order or in one or more indentures supplemental hereto, and shall have such appropriate insertions, omissions, substitutions and other variations as are required or permitted by this Indenture,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securities exchange on which any series of the Securities may be listed or of any automated quotation system on which any such series may be quoted, or to conform to usage, all as determined by the officers executing such Securities as conclusively evidenced by their execution of such Securities.</w:t>
      </w:r>
    </w:p>
    <w:p>
      <w:pPr>
        <w:spacing w:after="0" w:line="216" w:lineRule="exact"/>
        <w:rPr>
          <w:rFonts w:ascii="Arial" w:cs="Arial" w:eastAsia="Arial" w:hAnsi="Arial"/>
          <w:sz w:val="18"/>
          <w:szCs w:val="18"/>
          <w:color w:val="auto"/>
        </w:rPr>
      </w:pPr>
    </w:p>
    <w:p>
      <w:pPr>
        <w:ind w:right="20" w:firstLine="477"/>
        <w:spacing w:after="0" w:line="342" w:lineRule="auto"/>
        <w:tabs>
          <w:tab w:leader="none" w:pos="723"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terms and provisions of the Securities shall constitute, and are hereby expressly made, a part of this Indenture, and, to the extent applicable, the Company and the Trustee, by their execution and delivery of this Indenture expressly agree to such terms and provisions and to be bound thereby.</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w:t>
      </w:r>
    </w:p>
    <w:p>
      <w:pPr>
        <w:spacing w:after="0" w:line="252" w:lineRule="exact"/>
        <w:rPr>
          <w:sz w:val="20"/>
          <w:szCs w:val="20"/>
          <w:color w:val="auto"/>
        </w:rPr>
      </w:pPr>
    </w:p>
    <w:p>
      <w:pPr>
        <w:jc w:val="both"/>
        <w:ind w:firstLine="627"/>
        <w:spacing w:after="0" w:line="264" w:lineRule="auto"/>
        <w:tabs>
          <w:tab w:leader="none" w:pos="881" w:val="left"/>
        </w:tabs>
        <w:numPr>
          <w:ilvl w:val="2"/>
          <w:numId w:val="35"/>
        </w:numPr>
        <w:rPr>
          <w:rFonts w:ascii="Arial" w:cs="Arial" w:eastAsia="Arial" w:hAnsi="Arial"/>
          <w:sz w:val="18"/>
          <w:szCs w:val="18"/>
          <w:color w:val="auto"/>
        </w:rPr>
      </w:pPr>
      <w:r>
        <w:rPr>
          <w:rFonts w:ascii="Arial" w:cs="Arial" w:eastAsia="Arial" w:hAnsi="Arial"/>
          <w:sz w:val="18"/>
          <w:szCs w:val="18"/>
          <w:color w:val="auto"/>
        </w:rPr>
        <w:t>Only such of the Securities as shall bear thereon a certificate substantially in the form of the Trustee’s certificate of authentication hereinafter recited, executed by the Trustee by manual signature, shall be valid or become obligatory for any purpose or entitle the Holder thereof to any right or benefit under this Indenture.</w:t>
      </w:r>
    </w:p>
    <w:p>
      <w:pPr>
        <w:spacing w:after="0" w:line="208" w:lineRule="exact"/>
        <w:rPr>
          <w:rFonts w:ascii="Arial" w:cs="Arial" w:eastAsia="Arial" w:hAnsi="Arial"/>
          <w:sz w:val="18"/>
          <w:szCs w:val="18"/>
          <w:color w:val="auto"/>
        </w:rPr>
      </w:pPr>
    </w:p>
    <w:p>
      <w:pPr>
        <w:ind w:firstLine="484"/>
        <w:spacing w:after="0" w:line="277" w:lineRule="auto"/>
        <w:tabs>
          <w:tab w:leader="none" w:pos="734" w:val="left"/>
        </w:tabs>
        <w:numPr>
          <w:ilvl w:val="1"/>
          <w:numId w:val="36"/>
        </w:numPr>
        <w:rPr>
          <w:rFonts w:ascii="Arial" w:cs="Arial" w:eastAsia="Arial" w:hAnsi="Arial"/>
          <w:sz w:val="18"/>
          <w:szCs w:val="18"/>
          <w:color w:val="auto"/>
        </w:rPr>
      </w:pPr>
      <w:r>
        <w:rPr>
          <w:rFonts w:ascii="Arial" w:cs="Arial" w:eastAsia="Arial" w:hAnsi="Arial"/>
          <w:sz w:val="18"/>
          <w:szCs w:val="18"/>
          <w:color w:val="auto"/>
        </w:rPr>
        <w:t>Each Security shall be dated the date of its authentication, except that any Global Security shall be dated as of the date specified as contemplated in Section 3.01.</w:t>
      </w:r>
    </w:p>
    <w:p>
      <w:pPr>
        <w:spacing w:after="0" w:line="197" w:lineRule="exact"/>
        <w:rPr>
          <w:rFonts w:ascii="Arial" w:cs="Arial" w:eastAsia="Arial" w:hAnsi="Arial"/>
          <w:sz w:val="18"/>
          <w:szCs w:val="18"/>
          <w:color w:val="auto"/>
        </w:rPr>
      </w:pPr>
    </w:p>
    <w:p>
      <w:pPr>
        <w:ind w:left="700" w:hanging="242"/>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form of the Trustee’s certificate of authentication to be borne by the Securities shall be substantially as follows: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TRUSTEE’S CERTIFICATE OF AUTHENTICATION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ind w:left="340"/>
        <w:spacing w:after="0"/>
        <w:tabs>
          <w:tab w:leader="none" w:pos="6920" w:val="left"/>
          <w:tab w:leader="none" w:pos="7480" w:val="left"/>
        </w:tabs>
        <w:rPr>
          <w:sz w:val="20"/>
          <w:szCs w:val="20"/>
          <w:color w:val="auto"/>
        </w:rPr>
      </w:pPr>
      <w:r>
        <w:rPr>
          <w:rFonts w:ascii="Arial" w:cs="Arial" w:eastAsia="Arial" w:hAnsi="Arial"/>
          <w:sz w:val="18"/>
          <w:szCs w:val="18"/>
          <w:color w:val="auto"/>
        </w:rPr>
        <w:t>Date of authentication:____________________</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 as Trustee</w:t>
      </w:r>
    </w:p>
    <w:p>
      <w:pPr>
        <w:spacing w:after="0" w:line="25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-1905</wp:posOffset>
            </wp:positionV>
            <wp:extent cx="2675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Authorized Signatory</w:t>
      </w:r>
    </w:p>
    <w:p>
      <w:pPr>
        <w:spacing w:after="0" w:line="238" w:lineRule="exact"/>
        <w:rPr>
          <w:sz w:val="20"/>
          <w:szCs w:val="20"/>
          <w:color w:val="auto"/>
        </w:rPr>
      </w:pPr>
    </w:p>
    <w:p>
      <w:pPr>
        <w:ind w:right="200" w:firstLine="450"/>
        <w:spacing w:after="0" w:line="264"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Form of Trustee’s Certificate of Authentication by an Authenticating Agent</w:t>
      </w:r>
      <w:r>
        <w:rPr>
          <w:rFonts w:ascii="Arial" w:cs="Arial" w:eastAsia="Arial" w:hAnsi="Arial"/>
          <w:sz w:val="18"/>
          <w:szCs w:val="18"/>
          <w:color w:val="auto"/>
        </w:rPr>
        <w:t>. If at any time there shall be an Authenticating Agent appointed with respect to any series of Securities, then the Trustee’s Certificate of Authentication by such Authenticating Agent to be borne by Securities of each such series shall be substantially as follows: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ind w:left="340"/>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is one of the Securities issued referred to in the within-mentioned Indenture.</w:t>
      </w:r>
    </w:p>
    <w:p>
      <w:pPr>
        <w:spacing w:after="0" w:line="225" w:lineRule="exact"/>
        <w:rPr>
          <w:sz w:val="20"/>
          <w:szCs w:val="20"/>
          <w:color w:val="auto"/>
        </w:rPr>
      </w:pPr>
    </w:p>
    <w:p>
      <w:pPr>
        <w:ind w:left="340"/>
        <w:spacing w:after="0"/>
        <w:tabs>
          <w:tab w:leader="none" w:pos="7020" w:val="left"/>
          <w:tab w:leader="none" w:pos="7400" w:val="left"/>
        </w:tabs>
        <w:rPr>
          <w:sz w:val="20"/>
          <w:szCs w:val="20"/>
          <w:color w:val="auto"/>
        </w:rPr>
      </w:pPr>
      <w:r>
        <w:rPr>
          <w:rFonts w:ascii="Arial" w:cs="Arial" w:eastAsia="Arial" w:hAnsi="Arial"/>
          <w:sz w:val="18"/>
          <w:szCs w:val="18"/>
          <w:color w:val="auto"/>
        </w:rPr>
        <w:t>Date of authentication: __________</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 as Trustee</w:t>
      </w:r>
    </w:p>
    <w:p>
      <w:pPr>
        <w:spacing w:after="0" w:line="252"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-1905</wp:posOffset>
            </wp:positionV>
            <wp:extent cx="260731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Authenticating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142875</wp:posOffset>
            </wp:positionV>
            <wp:extent cx="27787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78760" cy="17145"/>
                    </a:xfrm>
                    <a:prstGeom prst="rect">
                      <a:avLst/>
                    </a:prstGeom>
                    <a:noFill/>
                  </pic:spPr>
                </pic:pic>
              </a:graphicData>
            </a:graphic>
          </wp:anchor>
        </w:drawing>
      </w:r>
    </w:p>
    <w:p>
      <w:pPr>
        <w:spacing w:after="0" w:line="218"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Authorized Signatory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DEBT SECURITIES</w:t>
      </w:r>
    </w:p>
    <w:p>
      <w:pPr>
        <w:spacing w:after="0" w:line="256" w:lineRule="exact"/>
        <w:rPr>
          <w:sz w:val="20"/>
          <w:szCs w:val="20"/>
          <w:color w:val="auto"/>
        </w:rPr>
      </w:pPr>
    </w:p>
    <w:p>
      <w:pPr>
        <w:jc w:val="both"/>
        <w:ind w:firstLine="544"/>
        <w:spacing w:after="0" w:line="264"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 The aggregate principal amount of Securities that may be authenticated and delivered under this Indenture is unlimited. The Securities may be issued in one or more series. There shall be set forth in a Company Order or in one or more indentures supplemental hereto, prior to the issuance of Securities of any series:</w:t>
      </w:r>
    </w:p>
    <w:p>
      <w:pPr>
        <w:spacing w:after="0" w:line="208" w:lineRule="exact"/>
        <w:rPr>
          <w:sz w:val="20"/>
          <w:szCs w:val="20"/>
          <w:color w:val="auto"/>
        </w:rPr>
      </w:pPr>
    </w:p>
    <w:p>
      <w:pPr>
        <w:ind w:firstLine="465"/>
        <w:spacing w:after="0" w:line="277" w:lineRule="auto"/>
        <w:tabs>
          <w:tab w:leader="none" w:pos="70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such series from the Securities of all other series, except to the extent that additional Securities of an existing series are being issued);</w:t>
      </w:r>
    </w:p>
    <w:p>
      <w:pPr>
        <w:spacing w:after="0" w:line="197" w:lineRule="exact"/>
        <w:rPr>
          <w:rFonts w:ascii="Arial" w:cs="Arial" w:eastAsia="Arial" w:hAnsi="Arial"/>
          <w:sz w:val="18"/>
          <w:szCs w:val="18"/>
          <w:color w:val="auto"/>
        </w:rPr>
      </w:pPr>
    </w:p>
    <w:p>
      <w:pPr>
        <w:jc w:val="both"/>
        <w:ind w:firstLine="462"/>
        <w:spacing w:after="0" w:line="264" w:lineRule="auto"/>
        <w:tabs>
          <w:tab w:leader="none" w:pos="709"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transfer of, or in exchange for, or in lieu of, other Securities of such series pursuant to Sections 3.04, 3.06, 3.07, 4.06, or 14.05);</w:t>
      </w:r>
    </w:p>
    <w:p>
      <w:pPr>
        <w:spacing w:after="0" w:line="208" w:lineRule="exact"/>
        <w:rPr>
          <w:rFonts w:ascii="Arial" w:cs="Arial" w:eastAsia="Arial" w:hAnsi="Arial"/>
          <w:sz w:val="18"/>
          <w:szCs w:val="18"/>
          <w:color w:val="auto"/>
        </w:rPr>
      </w:pPr>
    </w:p>
    <w:p>
      <w:pPr>
        <w:jc w:val="both"/>
        <w:ind w:firstLine="586"/>
        <w:spacing w:after="0" w:line="264" w:lineRule="auto"/>
        <w:tabs>
          <w:tab w:leader="none" w:pos="836"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dates on which or periods during which the Securities of the series may be issued, and the dates on, or the range of dates within, which the principal of and premium, if any, on the Securities of such series are or may be payable or the method by which such date or dates shall be determined or extended;</w:t>
      </w:r>
    </w:p>
    <w:p>
      <w:pPr>
        <w:spacing w:after="0" w:line="208" w:lineRule="exact"/>
        <w:rPr>
          <w:sz w:val="20"/>
          <w:szCs w:val="20"/>
          <w:color w:val="auto"/>
        </w:rPr>
      </w:pPr>
    </w:p>
    <w:p>
      <w:pPr>
        <w:jc w:val="both"/>
        <w:ind w:firstLine="458"/>
        <w:spacing w:after="0" w:line="302" w:lineRule="auto"/>
        <w:tabs>
          <w:tab w:leader="none" w:pos="70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rate or rates at which the Securities of the series shall bear interest, if any, or the method by which such rate or rates shall be determined, the date or dates from which such interest shall accrue, or the method by which such date or dates shall be determined, the Interest Payment Dates on which any such interest shall be payable, and the Record Dates for the determination of Holders to whom interest is payable on such Interest Payment Dates or the method by which such date or dates shall be determined, the right, if any, to extend or defer interest payments and the duration of such extension or deferral;</w:t>
      </w:r>
    </w:p>
    <w:p>
      <w:pPr>
        <w:spacing w:after="0" w:line="181" w:lineRule="exact"/>
        <w:rPr>
          <w:rFonts w:ascii="Arial" w:cs="Arial" w:eastAsia="Arial" w:hAnsi="Arial"/>
          <w:sz w:val="16"/>
          <w:szCs w:val="16"/>
          <w:color w:val="auto"/>
        </w:rPr>
      </w:pPr>
    </w:p>
    <w:p>
      <w:pPr>
        <w:ind w:firstLine="499"/>
        <w:spacing w:after="0" w:line="277" w:lineRule="auto"/>
        <w:tabs>
          <w:tab w:leader="none" w:pos="7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other than U.S. Dollars, the Currency in which Securities of the series shall be denominated or in which payment of the principal of, premium, if any, or interest on the Securities of the series shall be payable and any other terms concerning such payment;</w:t>
      </w:r>
    </w:p>
    <w:p>
      <w:pPr>
        <w:spacing w:after="0" w:line="197" w:lineRule="exact"/>
        <w:rPr>
          <w:rFonts w:ascii="Arial" w:cs="Arial" w:eastAsia="Arial" w:hAnsi="Arial"/>
          <w:sz w:val="18"/>
          <w:szCs w:val="18"/>
          <w:color w:val="auto"/>
        </w:rPr>
      </w:pPr>
    </w:p>
    <w:p>
      <w:pPr>
        <w:jc w:val="both"/>
        <w:ind w:firstLine="520"/>
        <w:spacing w:after="0" w:line="264" w:lineRule="auto"/>
        <w:tabs>
          <w:tab w:leader="none" w:pos="743"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the amount of payment of principal of, premium, if any, or interest on the Securities of the series may be determined with reference to an index, formula or other method including, but not limited to, an index based on a Currency or Currencies other than that in which the Securities are stated to be payable, the manner in which such amounts shall be determined;</w:t>
      </w:r>
    </w:p>
    <w:p>
      <w:pPr>
        <w:spacing w:after="0" w:line="208" w:lineRule="exact"/>
        <w:rPr>
          <w:rFonts w:ascii="Arial" w:cs="Arial" w:eastAsia="Arial" w:hAnsi="Arial"/>
          <w:sz w:val="18"/>
          <w:szCs w:val="18"/>
          <w:color w:val="auto"/>
        </w:rPr>
      </w:pPr>
    </w:p>
    <w:p>
      <w:pPr>
        <w:jc w:val="both"/>
        <w:ind w:firstLine="499"/>
        <w:spacing w:after="0" w:line="302" w:lineRule="auto"/>
        <w:tabs>
          <w:tab w:leader="none" w:pos="749" w:val="left"/>
        </w:tabs>
        <w:numPr>
          <w:ilvl w:val="1"/>
          <w:numId w:val="39"/>
        </w:numPr>
        <w:rPr>
          <w:rFonts w:ascii="Arial" w:cs="Arial" w:eastAsia="Arial" w:hAnsi="Arial"/>
          <w:sz w:val="16"/>
          <w:szCs w:val="16"/>
          <w:color w:val="auto"/>
        </w:rPr>
      </w:pPr>
      <w:r>
        <w:rPr>
          <w:rFonts w:ascii="Arial" w:cs="Arial" w:eastAsia="Arial" w:hAnsi="Arial"/>
          <w:sz w:val="16"/>
          <w:szCs w:val="16"/>
          <w:color w:val="auto"/>
        </w:rPr>
        <w:t>if the principal of, premium, if any, or interest on Securities of the series are to be payable, at the election of the Company or a Holder thereof, in a Currency other than that in which the Securities are denominated or stated to be payable without such election, the period or periods within which, and the terms and conditions upon which, such election may be made and the time and the manner of determining the exchange rate between the Currency in which the Securities are denominated or payable without such election and the Currency in which the Securities are to be paid if such election is made;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p>
      <w:pPr>
        <w:jc w:val="both"/>
        <w:ind w:firstLine="486"/>
        <w:spacing w:after="0" w:line="286" w:lineRule="auto"/>
        <w:tabs>
          <w:tab w:leader="none" w:pos="736"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place or places, if any, in addition to or instead of the Corporate Trust Office of the Trustee where the principal of, premium, if any, and interest on Securities of the series shall be payable, and where Securities of any series may be presented for registration of transfer, exchange or conversion, and the place or places where notices and demands to or upon the Company in respect of the Securities of such series may be made;</w:t>
      </w:r>
    </w:p>
    <w:p>
      <w:pPr>
        <w:spacing w:after="0" w:line="192" w:lineRule="exact"/>
        <w:rPr>
          <w:rFonts w:ascii="Arial" w:cs="Arial" w:eastAsia="Arial" w:hAnsi="Arial"/>
          <w:sz w:val="17"/>
          <w:szCs w:val="17"/>
          <w:color w:val="auto"/>
        </w:rPr>
      </w:pPr>
    </w:p>
    <w:p>
      <w:pPr>
        <w:ind w:firstLine="483"/>
        <w:spacing w:after="0" w:line="277" w:lineRule="auto"/>
        <w:tabs>
          <w:tab w:leader="none" w:pos="692"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price or prices at which, the period or periods within which or the date or dates on which, and the terms and conditions upon which Securities of the series may be redeemed, in whole or in part, at the option of the Company, if the Company is to have that option;</w:t>
      </w:r>
    </w:p>
    <w:p>
      <w:pPr>
        <w:spacing w:after="0" w:line="197" w:lineRule="exact"/>
        <w:rPr>
          <w:rFonts w:ascii="Arial" w:cs="Arial" w:eastAsia="Arial" w:hAnsi="Arial"/>
          <w:sz w:val="18"/>
          <w:szCs w:val="18"/>
          <w:color w:val="auto"/>
        </w:rPr>
      </w:pPr>
    </w:p>
    <w:p>
      <w:pPr>
        <w:jc w:val="both"/>
        <w:ind w:firstLine="551"/>
        <w:spacing w:after="0" w:line="259" w:lineRule="auto"/>
        <w:tabs>
          <w:tab w:leader="none" w:pos="767"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obligation or right, if any, of the Company to redeem, purchase or repay Securities of the series pursuant to any sinking fund, amortization or analogous provisions or at the option of a Holder thereof and the price or prices at which, the period or periods within which or the date or dates on which, the Currency or Currencies in which and the terms and conditions upon which Securities of the series shall be redeemed, purchased or repaid, in whole or in part, pursuant to such obligation;</w:t>
      </w:r>
    </w:p>
    <w:p>
      <w:pPr>
        <w:spacing w:after="0" w:line="213" w:lineRule="exact"/>
        <w:rPr>
          <w:rFonts w:ascii="Arial" w:cs="Arial" w:eastAsia="Arial" w:hAnsi="Arial"/>
          <w:sz w:val="18"/>
          <w:szCs w:val="18"/>
          <w:color w:val="auto"/>
        </w:rPr>
      </w:pPr>
    </w:p>
    <w:p>
      <w:pPr>
        <w:ind w:left="720" w:hanging="262"/>
        <w:spacing w:after="0"/>
        <w:tabs>
          <w:tab w:leader="none" w:pos="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other than denominations of $1,000 or any integral multiple thereof, the denominations in which Securities of the series shall be issuable;</w:t>
      </w:r>
    </w:p>
    <w:p>
      <w:pPr>
        <w:spacing w:after="0" w:line="263" w:lineRule="exact"/>
        <w:rPr>
          <w:rFonts w:ascii="Arial" w:cs="Arial" w:eastAsia="Arial" w:hAnsi="Arial"/>
          <w:sz w:val="17"/>
          <w:szCs w:val="17"/>
          <w:color w:val="auto"/>
        </w:rPr>
      </w:pPr>
    </w:p>
    <w:p>
      <w:pPr>
        <w:ind w:right="20" w:firstLine="485"/>
        <w:spacing w:after="0" w:line="277" w:lineRule="auto"/>
        <w:tabs>
          <w:tab w:leader="none" w:pos="695"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Securities of the series which shall be payable upon declaration of acceleration of the Maturity thereof pursuant to Section 7.02;</w:t>
      </w:r>
    </w:p>
    <w:p>
      <w:pPr>
        <w:spacing w:after="0" w:line="197" w:lineRule="exact"/>
        <w:rPr>
          <w:rFonts w:ascii="Arial" w:cs="Arial" w:eastAsia="Arial" w:hAnsi="Arial"/>
          <w:sz w:val="18"/>
          <w:szCs w:val="18"/>
          <w:color w:val="auto"/>
        </w:rPr>
      </w:pPr>
    </w:p>
    <w:p>
      <w:pPr>
        <w:ind w:right="20" w:firstLine="541"/>
        <w:spacing w:after="0" w:line="277" w:lineRule="auto"/>
        <w:tabs>
          <w:tab w:leader="none" w:pos="847" w:val="left"/>
        </w:tabs>
        <w:numPr>
          <w:ilvl w:val="2"/>
          <w:numId w:val="41"/>
        </w:numPr>
        <w:rPr>
          <w:rFonts w:ascii="Arial" w:cs="Arial" w:eastAsia="Arial" w:hAnsi="Arial"/>
          <w:sz w:val="18"/>
          <w:szCs w:val="18"/>
          <w:color w:val="auto"/>
        </w:rPr>
      </w:pPr>
      <w:r>
        <w:rPr>
          <w:rFonts w:ascii="Arial" w:cs="Arial" w:eastAsia="Arial" w:hAnsi="Arial"/>
          <w:sz w:val="18"/>
          <w:szCs w:val="18"/>
          <w:color w:val="auto"/>
        </w:rPr>
        <w:t>whether the Securities of the series are to be issued as Original Issue Discount Securities and the amount of discount with which such Securities may be issued;</w:t>
      </w:r>
    </w:p>
    <w:p>
      <w:pPr>
        <w:spacing w:after="0" w:line="197" w:lineRule="exact"/>
        <w:rPr>
          <w:sz w:val="20"/>
          <w:szCs w:val="20"/>
          <w:color w:val="auto"/>
        </w:rPr>
      </w:pPr>
    </w:p>
    <w:p>
      <w:pPr>
        <w:ind w:firstLine="458"/>
        <w:spacing w:after="0" w:line="277"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provisions, if any, for the defeasance of Securities of the series in whole or in part and any addition or change in the provisions related to satisfaction and discharge;</w:t>
      </w:r>
    </w:p>
    <w:p>
      <w:pPr>
        <w:spacing w:after="0" w:line="197" w:lineRule="exact"/>
        <w:rPr>
          <w:rFonts w:ascii="Arial" w:cs="Arial" w:eastAsia="Arial" w:hAnsi="Arial"/>
          <w:sz w:val="18"/>
          <w:szCs w:val="18"/>
          <w:color w:val="auto"/>
        </w:rPr>
      </w:pPr>
    </w:p>
    <w:p>
      <w:pPr>
        <w:jc w:val="both"/>
        <w:ind w:firstLine="458"/>
        <w:spacing w:after="0" w:line="264"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Securities of the series are to be issued in whole or in part in the form of one or more Global Securities and, in such case, the Depositary for such Global Security or Securities and the terms and conditions, if any, upon which interests in such Global Security or Securities may be exchanged in whole or in part for the individual Securities represented thereby;</w:t>
      </w:r>
    </w:p>
    <w:p>
      <w:pPr>
        <w:spacing w:after="0" w:line="208" w:lineRule="exact"/>
        <w:rPr>
          <w:rFonts w:ascii="Arial" w:cs="Arial" w:eastAsia="Arial" w:hAnsi="Arial"/>
          <w:sz w:val="18"/>
          <w:szCs w:val="18"/>
          <w:color w:val="auto"/>
        </w:rPr>
      </w:pPr>
    </w:p>
    <w:p>
      <w:pPr>
        <w:ind w:left="720" w:hanging="262"/>
        <w:spacing w:after="0"/>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date as of which any Global Security of the series shall be dated if other than the original issuance of the first Security of the series to be issued;</w:t>
      </w:r>
    </w:p>
    <w:p>
      <w:pPr>
        <w:spacing w:after="0" w:line="275" w:lineRule="exact"/>
        <w:rPr>
          <w:rFonts w:ascii="Arial" w:cs="Arial" w:eastAsia="Arial" w:hAnsi="Arial"/>
          <w:sz w:val="16"/>
          <w:szCs w:val="16"/>
          <w:color w:val="auto"/>
        </w:rPr>
      </w:pPr>
    </w:p>
    <w:p>
      <w:pPr>
        <w:ind w:left="720" w:hanging="262"/>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form of the Securities of the series;</w:t>
      </w:r>
    </w:p>
    <w:p>
      <w:pPr>
        <w:spacing w:after="0" w:line="252" w:lineRule="exact"/>
        <w:rPr>
          <w:rFonts w:ascii="Arial" w:cs="Arial" w:eastAsia="Arial" w:hAnsi="Arial"/>
          <w:sz w:val="18"/>
          <w:szCs w:val="18"/>
          <w:color w:val="auto"/>
        </w:rPr>
      </w:pPr>
    </w:p>
    <w:p>
      <w:pPr>
        <w:jc w:val="both"/>
        <w:ind w:firstLine="539"/>
        <w:spacing w:after="0" w:line="264" w:lineRule="auto"/>
        <w:tabs>
          <w:tab w:leader="none" w:pos="764" w:val="left"/>
        </w:tabs>
        <w:numPr>
          <w:ilvl w:val="1"/>
          <w:numId w:val="42"/>
        </w:numPr>
        <w:rPr>
          <w:rFonts w:ascii="Arial" w:cs="Arial" w:eastAsia="Arial" w:hAnsi="Arial"/>
          <w:sz w:val="18"/>
          <w:szCs w:val="18"/>
          <w:color w:val="auto"/>
        </w:rPr>
      </w:pPr>
      <w:r>
        <w:rPr>
          <w:rFonts w:ascii="Arial" w:cs="Arial" w:eastAsia="Arial" w:hAnsi="Arial"/>
          <w:sz w:val="18"/>
          <w:szCs w:val="18"/>
          <w:color w:val="auto"/>
        </w:rPr>
        <w:t>if the Securities of the series are to be convertible into or exchangeable for any securities or property of any Person (including the Company), the terms and conditions upon which such Securities will be so convertible or exchangeable, and any additions or changes, if any, to permit or facilitate such conversion or exchange;</w:t>
      </w:r>
    </w:p>
    <w:p>
      <w:pPr>
        <w:spacing w:after="0" w:line="208" w:lineRule="exact"/>
        <w:rPr>
          <w:sz w:val="20"/>
          <w:szCs w:val="20"/>
          <w:color w:val="auto"/>
        </w:rPr>
      </w:pPr>
    </w:p>
    <w:p>
      <w:pPr>
        <w:ind w:left="700" w:hanging="242"/>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the Securities of such series are subject to subordination and the terms of such subordination;</w:t>
      </w:r>
    </w:p>
    <w:p>
      <w:pPr>
        <w:spacing w:after="0" w:line="252" w:lineRule="exact"/>
        <w:rPr>
          <w:rFonts w:ascii="Arial" w:cs="Arial" w:eastAsia="Arial" w:hAnsi="Arial"/>
          <w:sz w:val="18"/>
          <w:szCs w:val="18"/>
          <w:color w:val="auto"/>
        </w:rPr>
      </w:pPr>
    </w:p>
    <w:p>
      <w:pPr>
        <w:ind w:left="680" w:hanging="222"/>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restriction or condition on the transferability of the Securities of such series;</w:t>
      </w:r>
    </w:p>
    <w:p>
      <w:pPr>
        <w:spacing w:after="0" w:line="252" w:lineRule="exact"/>
        <w:rPr>
          <w:rFonts w:ascii="Arial" w:cs="Arial" w:eastAsia="Arial" w:hAnsi="Arial"/>
          <w:sz w:val="18"/>
          <w:szCs w:val="18"/>
          <w:color w:val="auto"/>
        </w:rPr>
      </w:pPr>
    </w:p>
    <w:p>
      <w:pPr>
        <w:ind w:left="720" w:hanging="262"/>
        <w:spacing w:after="0"/>
        <w:tabs>
          <w:tab w:leader="none" w:pos="7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addition or change in the provisions related to compensation and reimbursement of the Trustee which applies to Securities of such series;</w:t>
      </w:r>
    </w:p>
    <w:p>
      <w:pPr>
        <w:spacing w:after="0" w:line="263" w:lineRule="exact"/>
        <w:rPr>
          <w:rFonts w:ascii="Arial" w:cs="Arial" w:eastAsia="Arial" w:hAnsi="Arial"/>
          <w:sz w:val="17"/>
          <w:szCs w:val="17"/>
          <w:color w:val="auto"/>
        </w:rPr>
      </w:pPr>
    </w:p>
    <w:p>
      <w:pPr>
        <w:ind w:left="740" w:hanging="266"/>
        <w:spacing w:after="0"/>
        <w:tabs>
          <w:tab w:leader="none" w:pos="7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any addition or change in the provisions related to supplemental indentures set forth in Sections 14.04 and 14.02 which applies to Securities of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series;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ind w:left="760" w:hanging="302"/>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provisions, if any, granting special rights to Holders upon the occurrence of specified events;</w:t>
      </w:r>
    </w:p>
    <w:p>
      <w:pPr>
        <w:spacing w:after="0" w:line="252" w:lineRule="exact"/>
        <w:rPr>
          <w:rFonts w:ascii="Arial" w:cs="Arial" w:eastAsia="Arial" w:hAnsi="Arial"/>
          <w:sz w:val="18"/>
          <w:szCs w:val="18"/>
          <w:color w:val="auto"/>
        </w:rPr>
      </w:pPr>
    </w:p>
    <w:p>
      <w:pPr>
        <w:jc w:val="both"/>
        <w:ind w:firstLine="562"/>
        <w:spacing w:after="0" w:line="264" w:lineRule="auto"/>
        <w:tabs>
          <w:tab w:leader="none" w:pos="819"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7.02 and any addition or change in the provisions set forth in Article VII which applies to Securities of the series;</w:t>
      </w:r>
    </w:p>
    <w:p>
      <w:pPr>
        <w:spacing w:after="0" w:line="208" w:lineRule="exact"/>
        <w:rPr>
          <w:sz w:val="20"/>
          <w:szCs w:val="20"/>
          <w:color w:val="auto"/>
        </w:rPr>
      </w:pPr>
    </w:p>
    <w:p>
      <w:pPr>
        <w:ind w:left="720" w:hanging="262"/>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 VI which applies to Securities of the series; and</w:t>
      </w:r>
    </w:p>
    <w:p>
      <w:pPr>
        <w:spacing w:after="0" w:line="252" w:lineRule="exact"/>
        <w:rPr>
          <w:rFonts w:ascii="Arial" w:cs="Arial" w:eastAsia="Arial" w:hAnsi="Arial"/>
          <w:sz w:val="18"/>
          <w:szCs w:val="18"/>
          <w:color w:val="auto"/>
        </w:rPr>
      </w:pPr>
    </w:p>
    <w:p>
      <w:pPr>
        <w:ind w:right="20" w:firstLine="516"/>
        <w:spacing w:after="0" w:line="277" w:lineRule="auto"/>
        <w:tabs>
          <w:tab w:leader="none" w:pos="75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other terms of the Securities of such series (which terms shall not be inconsistent with the provisions of this Indenture, except as permitted by Section 14.01).</w:t>
      </w:r>
    </w:p>
    <w:p>
      <w:pPr>
        <w:spacing w:after="0" w:line="19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herein or set forth in a Company Order or in one or more indentures supplemental hereto.</w:t>
      </w:r>
    </w:p>
    <w:p>
      <w:pPr>
        <w:spacing w:after="0" w:line="197" w:lineRule="exact"/>
        <w:rPr>
          <w:sz w:val="20"/>
          <w:szCs w:val="20"/>
          <w:color w:val="auto"/>
        </w:rPr>
      </w:pPr>
    </w:p>
    <w:p>
      <w:pPr>
        <w:ind w:firstLine="477"/>
        <w:spacing w:after="0" w:line="308"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Denominations</w:t>
      </w:r>
      <w:r>
        <w:rPr>
          <w:rFonts w:ascii="Arial" w:cs="Arial" w:eastAsia="Arial" w:hAnsi="Arial"/>
          <w:sz w:val="17"/>
          <w:szCs w:val="17"/>
          <w:color w:val="auto"/>
        </w:rPr>
        <w:t>. In the absence of any specification pursuant to Section 3.01 with respect to Securities of any series, the Securities of such series shall be issuable only as Securities in denominations of any integral multiple of $1,000, and shall be payable only in U.S. Dollars.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Execution, Authentication, Delivery and Dating</w:t>
      </w:r>
      <w:r>
        <w:rPr>
          <w:rFonts w:ascii="Arial" w:cs="Arial" w:eastAsia="Arial" w:hAnsi="Arial"/>
          <w:sz w:val="18"/>
          <w:szCs w:val="18"/>
          <w:color w:val="auto"/>
        </w:rPr>
        <w:t>.</w:t>
      </w:r>
    </w:p>
    <w:p>
      <w:pPr>
        <w:spacing w:after="0" w:line="252" w:lineRule="exact"/>
        <w:rPr>
          <w:sz w:val="20"/>
          <w:szCs w:val="20"/>
          <w:color w:val="auto"/>
        </w:rPr>
      </w:pPr>
    </w:p>
    <w:p>
      <w:pPr>
        <w:jc w:val="both"/>
        <w:ind w:firstLine="542"/>
        <w:spacing w:after="0" w:line="312" w:lineRule="auto"/>
        <w:tabs>
          <w:tab w:leader="none" w:pos="784"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Securities shall be executed in the name and on behalf of the Company by the manual or facsimile signature of its Chairman of the Board of Directors, Chief Executive Officer, President, Chief Operating Officer, Chief Financial Officer, one of its Vice Presidents or Treasurer. If the Person whose signature is on a Security no longer holds that office at the time the Security is authenticated and delivered, the Security shall nevertheless be valid.</w:t>
      </w:r>
    </w:p>
    <w:p>
      <w:pPr>
        <w:spacing w:after="0" w:line="173" w:lineRule="exact"/>
        <w:rPr>
          <w:rFonts w:ascii="Arial" w:cs="Arial" w:eastAsia="Arial" w:hAnsi="Arial"/>
          <w:sz w:val="16"/>
          <w:szCs w:val="16"/>
          <w:color w:val="auto"/>
        </w:rPr>
      </w:pPr>
    </w:p>
    <w:p>
      <w:pPr>
        <w:jc w:val="both"/>
        <w:ind w:firstLine="488"/>
        <w:spacing w:after="0" w:line="257" w:lineRule="auto"/>
        <w:tabs>
          <w:tab w:leader="none" w:pos="7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if required pursuant to Section 3.01, a supplemental indenture or Company Order setting forth the terms of the Securities of a series. The Trustee shall thereupon authenticate and deliver such Securities without any further action by the Company. The Company Order shall specify the amount of Securities to be authenticated and the date on which the original issue of Securities is to be authenticated.</w:t>
      </w:r>
    </w:p>
    <w:p>
      <w:pPr>
        <w:spacing w:after="0" w:line="215" w:lineRule="exact"/>
        <w:rPr>
          <w:rFonts w:ascii="Arial" w:cs="Arial" w:eastAsia="Arial" w:hAnsi="Arial"/>
          <w:sz w:val="18"/>
          <w:szCs w:val="18"/>
          <w:color w:val="auto"/>
        </w:rPr>
      </w:pPr>
    </w:p>
    <w:p>
      <w:pPr>
        <w:jc w:val="both"/>
        <w:ind w:firstLine="500"/>
        <w:spacing w:after="0" w:line="312" w:lineRule="auto"/>
        <w:tabs>
          <w:tab w:leader="none" w:pos="741"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authenticating the first Securities of any series and accepting the additional responsibilities under this Indenture in relation to such Securities the Trustee shall receive, and (subject to Section 11.02) shall be fully protected in relying upon an Officer’s Certificate and an Opinion of Counsel, each prepared in accordance with Section 15.01 stating that the conditions precedent, if any, provided for in this Indenture have been complied with.</w:t>
      </w:r>
    </w:p>
    <w:p>
      <w:pPr>
        <w:spacing w:after="0" w:line="173" w:lineRule="exact"/>
        <w:rPr>
          <w:rFonts w:ascii="Arial" w:cs="Arial" w:eastAsia="Arial" w:hAnsi="Arial"/>
          <w:sz w:val="16"/>
          <w:szCs w:val="16"/>
          <w:color w:val="auto"/>
        </w:rPr>
      </w:pPr>
    </w:p>
    <w:p>
      <w:pPr>
        <w:jc w:val="both"/>
        <w:ind w:firstLine="488"/>
        <w:spacing w:after="0" w:line="264" w:lineRule="auto"/>
        <w:tabs>
          <w:tab w:leader="none" w:pos="7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Trustee shall have the right to decline to authenticate and deliver the Securities under this Section 3.03 if the issue of the Securities pursuant to this Indenture will affect the Trustee’s own rights, duties or immunities under the Securities and this Indenture or otherwise in a manner which is not reasonably acceptable to the Trustee.</w:t>
      </w:r>
    </w:p>
    <w:p>
      <w:pPr>
        <w:spacing w:after="0" w:line="208" w:lineRule="exact"/>
        <w:rPr>
          <w:rFonts w:ascii="Arial" w:cs="Arial" w:eastAsia="Arial" w:hAnsi="Arial"/>
          <w:sz w:val="18"/>
          <w:szCs w:val="18"/>
          <w:color w:val="auto"/>
        </w:rPr>
      </w:pPr>
    </w:p>
    <w:p>
      <w:pPr>
        <w:ind w:right="20" w:firstLine="541"/>
        <w:spacing w:after="0" w:line="277" w:lineRule="auto"/>
        <w:tabs>
          <w:tab w:leader="none" w:pos="787" w:val="left"/>
        </w:tabs>
        <w:numPr>
          <w:ilvl w:val="1"/>
          <w:numId w:val="47"/>
        </w:numPr>
        <w:rPr>
          <w:rFonts w:ascii="Arial" w:cs="Arial" w:eastAsia="Arial" w:hAnsi="Arial"/>
          <w:sz w:val="18"/>
          <w:szCs w:val="18"/>
          <w:color w:val="auto"/>
        </w:rPr>
      </w:pPr>
      <w:r>
        <w:rPr>
          <w:rFonts w:ascii="Arial" w:cs="Arial" w:eastAsia="Arial" w:hAnsi="Arial"/>
          <w:sz w:val="18"/>
          <w:szCs w:val="18"/>
          <w:color w:val="auto"/>
        </w:rPr>
        <w:t>Each Security shall be dated the date of its authentication, except as otherwise provided pursuant to Section 3.01 with respect to the Securities of such series.</w:t>
      </w:r>
    </w:p>
    <w:p>
      <w:pPr>
        <w:spacing w:after="0" w:line="197" w:lineRule="exact"/>
        <w:rPr>
          <w:rFonts w:ascii="Arial" w:cs="Arial" w:eastAsia="Arial" w:hAnsi="Arial"/>
          <w:sz w:val="18"/>
          <w:szCs w:val="18"/>
          <w:color w:val="auto"/>
        </w:rPr>
      </w:pPr>
    </w:p>
    <w:p>
      <w:pPr>
        <w:jc w:val="both"/>
        <w:ind w:firstLine="557"/>
        <w:spacing w:after="0" w:line="264" w:lineRule="auto"/>
        <w:tabs>
          <w:tab w:leader="none" w:pos="783" w:val="left"/>
        </w:tabs>
        <w:numPr>
          <w:ilvl w:val="1"/>
          <w:numId w:val="47"/>
        </w:numPr>
        <w:rPr>
          <w:rFonts w:ascii="Arial" w:cs="Arial" w:eastAsia="Arial" w:hAnsi="Arial"/>
          <w:sz w:val="18"/>
          <w:szCs w:val="18"/>
          <w:color w:val="auto"/>
        </w:rPr>
      </w:pPr>
      <w:r>
        <w:rPr>
          <w:rFonts w:ascii="Arial" w:cs="Arial" w:eastAsia="Arial" w:hAnsi="Arial"/>
          <w:sz w:val="18"/>
          <w:szCs w:val="18"/>
          <w:color w:val="auto"/>
        </w:rPr>
        <w:t>Notwithstanding the provisions of Section 3.01 and of this Section 3.03, if all of the Securities of any series are not to be originally issued at the same time, then the documents required to be delivered pursuant to this Section 3.03 must be delivered only once prior to the authentication and delivery of the first Security of such series;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 w:name="page39"/>
    <w:bookmarkEnd w:id="38"/>
    <w:p>
      <w:pPr>
        <w:jc w:val="both"/>
        <w:ind w:firstLine="488"/>
        <w:spacing w:after="0" w:line="297" w:lineRule="auto"/>
        <w:tabs>
          <w:tab w:leader="none" w:pos="738"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the Company shall establish pursuant to Section 3.01 that the Securities of a series are to be issued in whole or in part in the form of one or more Global Securities, then the Company shall execute and the Trustee shall authenticate and deliver one or more Global Securities that: (i) shall represent an aggregate amount equal to the aggregate principal amount of the Outstanding Securities of such series to be represented by such Global Securities; (ii) shall be registered, if in registered form, in the name of the Depositary for such Global Security or Securities or the nominee of such Depositary; (iii) shall be delivered by the Trustee to such Depositary or pursuant to such Depositary’s instruction; and (iv) shall bear a legend substantially to the following effect:</w:t>
      </w:r>
    </w:p>
    <w:p>
      <w:pPr>
        <w:spacing w:after="0" w:line="185" w:lineRule="exact"/>
        <w:rPr>
          <w:sz w:val="20"/>
          <w:szCs w:val="20"/>
          <w:color w:val="auto"/>
        </w:rPr>
      </w:pPr>
    </w:p>
    <w:p>
      <w:pPr>
        <w:jc w:val="both"/>
        <w:ind w:firstLine="462"/>
        <w:spacing w:after="0" w:line="264" w:lineRule="auto"/>
        <w:rPr>
          <w:sz w:val="20"/>
          <w:szCs w:val="20"/>
          <w:color w:val="auto"/>
        </w:rPr>
      </w:pPr>
      <w:r>
        <w:rPr>
          <w:rFonts w:ascii="Arial" w:cs="Arial" w:eastAsia="Arial" w:hAnsi="Arial"/>
          <w:sz w:val="18"/>
          <w:szCs w:val="18"/>
          <w:color w:val="auto"/>
        </w:rPr>
        <w:t>“Unless and until it is exchanged in whole or in part for the individual Securities represented hereby, this Global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208" w:lineRule="exact"/>
        <w:rPr>
          <w:sz w:val="20"/>
          <w:szCs w:val="20"/>
          <w:color w:val="auto"/>
        </w:rPr>
      </w:pPr>
    </w:p>
    <w:p>
      <w:pPr>
        <w:jc w:val="both"/>
        <w:ind w:firstLine="526"/>
        <w:spacing w:after="0" w:line="277" w:lineRule="auto"/>
        <w:rPr>
          <w:sz w:val="20"/>
          <w:szCs w:val="20"/>
          <w:color w:val="auto"/>
        </w:rPr>
      </w:pPr>
      <w:r>
        <w:rPr>
          <w:rFonts w:ascii="Arial" w:cs="Arial" w:eastAsia="Arial" w:hAnsi="Arial"/>
          <w:sz w:val="18"/>
          <w:szCs w:val="18"/>
          <w:color w:val="auto"/>
        </w:rPr>
        <w:t>The aggregate principal amount of each Global Security may from time to time be increased or decreased by adjustments made on the records of the Security Custodian, as provided in this Indenture.</w:t>
      </w:r>
    </w:p>
    <w:p>
      <w:pPr>
        <w:spacing w:after="0" w:line="197" w:lineRule="exact"/>
        <w:rPr>
          <w:sz w:val="20"/>
          <w:szCs w:val="20"/>
          <w:color w:val="auto"/>
        </w:rPr>
      </w:pPr>
    </w:p>
    <w:p>
      <w:pPr>
        <w:ind w:firstLine="555"/>
        <w:spacing w:after="0" w:line="308" w:lineRule="auto"/>
        <w:tabs>
          <w:tab w:leader="none" w:pos="811" w:val="left"/>
        </w:tabs>
        <w:numPr>
          <w:ilvl w:val="0"/>
          <w:numId w:val="49"/>
        </w:numPr>
        <w:rPr>
          <w:rFonts w:ascii="Arial" w:cs="Arial" w:eastAsia="Arial" w:hAnsi="Arial"/>
          <w:sz w:val="17"/>
          <w:szCs w:val="17"/>
          <w:color w:val="auto"/>
        </w:rPr>
      </w:pPr>
      <w:r>
        <w:rPr>
          <w:rFonts w:ascii="Arial" w:cs="Arial" w:eastAsia="Arial" w:hAnsi="Arial"/>
          <w:sz w:val="17"/>
          <w:szCs w:val="17"/>
          <w:color w:val="auto"/>
        </w:rPr>
        <w:t>Each Depositary designated pursuant to Section 3.01 for a Global Security in registered form must, at the time of its designation and at all times while it serves as such Depositary, be a clearing agency registered under the Exchange Act and any other applicable statute or regulation.</w:t>
      </w:r>
    </w:p>
    <w:p>
      <w:pPr>
        <w:spacing w:after="0" w:line="173" w:lineRule="exact"/>
        <w:rPr>
          <w:rFonts w:ascii="Arial" w:cs="Arial" w:eastAsia="Arial" w:hAnsi="Arial"/>
          <w:sz w:val="17"/>
          <w:szCs w:val="17"/>
          <w:color w:val="auto"/>
        </w:rPr>
      </w:pPr>
    </w:p>
    <w:p>
      <w:pPr>
        <w:jc w:val="both"/>
        <w:ind w:firstLine="548"/>
        <w:spacing w:after="0" w:line="271" w:lineRule="auto"/>
        <w:tabs>
          <w:tab w:leader="none" w:pos="764" w:val="left"/>
        </w:tabs>
        <w:numPr>
          <w:ilvl w:val="0"/>
          <w:numId w:val="49"/>
        </w:numPr>
        <w:rPr>
          <w:rFonts w:ascii="Arial" w:cs="Arial" w:eastAsia="Arial" w:hAnsi="Arial"/>
          <w:sz w:val="17"/>
          <w:szCs w:val="17"/>
          <w:color w:val="auto"/>
        </w:rPr>
      </w:pPr>
      <w:r>
        <w:rPr>
          <w:rFonts w:ascii="Arial" w:cs="Arial" w:eastAsia="Arial" w:hAnsi="Arial"/>
          <w:sz w:val="17"/>
          <w:szCs w:val="17"/>
          <w:color w:val="auto"/>
        </w:rPr>
        <w:t>Members of, or participants in, the Depositary (“Members”) shall have no rights under this Indenture with respect to any Global Security held on their behalf by the Depositary or by the Security Custodian under such Global Security, and the Depositary may be treated by the Company, the Trustee, the Paying Agent and the Registrar and any of their agents as the absolute owner of such Global Security for all purposes whatsoever. Notwithstanding the foregoing, nothing herein shall prevent the Company, the Trustee, the Paying Agent or the Registrar or any of their agents from giving effect to any written certification, proxy or other authorization furnished by the Depositary or impair, as between the Depositary and its Members, the operation of customary practices of the Depositary governing the exercise of the rights of an owner of a beneficial interest in any Global Security. The Holder of a Global Security may grant proxies and otherwise authorize any Person, including Members and Persons that may hold interests through Members, to take any action that a Holder is entitled to take under this Indenture or the Securities.</w:t>
      </w:r>
    </w:p>
    <w:p>
      <w:pPr>
        <w:spacing w:after="0" w:line="205" w:lineRule="exact"/>
        <w:rPr>
          <w:rFonts w:ascii="Arial" w:cs="Arial" w:eastAsia="Arial" w:hAnsi="Arial"/>
          <w:sz w:val="17"/>
          <w:szCs w:val="17"/>
          <w:color w:val="auto"/>
        </w:rPr>
      </w:pPr>
    </w:p>
    <w:p>
      <w:pPr>
        <w:jc w:val="both"/>
        <w:ind w:firstLine="548"/>
        <w:spacing w:after="0" w:line="279" w:lineRule="auto"/>
        <w:tabs>
          <w:tab w:leader="none" w:pos="764" w:val="left"/>
        </w:tabs>
        <w:numPr>
          <w:ilvl w:val="0"/>
          <w:numId w:val="49"/>
        </w:numPr>
        <w:rPr>
          <w:rFonts w:ascii="Arial" w:cs="Arial" w:eastAsia="Arial" w:hAnsi="Arial"/>
          <w:sz w:val="17"/>
          <w:szCs w:val="17"/>
          <w:color w:val="auto"/>
        </w:rPr>
      </w:pPr>
      <w:r>
        <w:rPr>
          <w:rFonts w:ascii="Arial" w:cs="Arial" w:eastAsia="Arial" w:hAnsi="Arial"/>
          <w:sz w:val="17"/>
          <w:szCs w:val="17"/>
          <w:color w:val="auto"/>
        </w:rPr>
        <w:t>No Security shall be entitled to any benefit under this Indenture or be valid or obligatory for any purpose unless there appears on such Security a certificate of authentication substantially in one of the forms provided for herein duly executed by the Trustee or by an Authenticating Agent by manual or facsimile signature of an authorized signatory of the Trustee, and such certificate upon any Security shall be conclusive evidence, and the only evidence, that such Security has been duly authenticated and delivered hereunder and is entitled to the benefits of this Indenture.</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252" w:lineRule="exact"/>
        <w:rPr>
          <w:sz w:val="20"/>
          <w:szCs w:val="20"/>
          <w:color w:val="auto"/>
        </w:rPr>
      </w:pPr>
    </w:p>
    <w:p>
      <w:pPr>
        <w:jc w:val="both"/>
        <w:ind w:firstLine="536"/>
        <w:spacing w:after="0" w:line="272" w:lineRule="auto"/>
        <w:tabs>
          <w:tab w:leader="none" w:pos="781" w:val="left"/>
        </w:tabs>
        <w:numPr>
          <w:ilvl w:val="0"/>
          <w:numId w:val="50"/>
        </w:numPr>
        <w:rPr>
          <w:rFonts w:ascii="Arial" w:cs="Arial" w:eastAsia="Arial" w:hAnsi="Arial"/>
          <w:sz w:val="17"/>
          <w:szCs w:val="17"/>
          <w:color w:val="auto"/>
        </w:rPr>
      </w:pPr>
      <w:r>
        <w:rPr>
          <w:rFonts w:ascii="Arial" w:cs="Arial" w:eastAsia="Arial" w:hAnsi="Arial"/>
          <w:sz w:val="17"/>
          <w:szCs w:val="17"/>
          <w:color w:val="auto"/>
        </w:rPr>
        <w:t>Pending the preparation of definitive Securities of any series, the Company may execute, and upon Company Order the Trustee shall authenticate and deliver, temporary Securities that are printed, lithographed, typewritten, mimeographed or otherwise reproduced, in any authorized denomination, substantially of the tenor of the definitive Securities in lieu of which they are issued, in registered form and with such appropriate insertions, omissions, substitutions and other variations as the officers executing such Securities may determine, as conclusively evidenced by their execution of such Securities. Any such temporary Security may be in global form, representing all or a portion of the Outstanding Securities of such series. Every such temporary Security shall be executed by the Company and shall be authenticated and delivered by the Trustee upon the same conditions and in substantially the same manner, and with the same effect, as the definitive Security or Securities in lieu of which it is issued.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 w:name="page40"/>
    <w:bookmarkEnd w:id="39"/>
    <w:p>
      <w:pPr>
        <w:jc w:val="both"/>
        <w:ind w:firstLine="559"/>
        <w:spacing w:after="0" w:line="255" w:lineRule="auto"/>
        <w:tabs>
          <w:tab w:leader="none" w:pos="816" w:val="left"/>
        </w:tabs>
        <w:numPr>
          <w:ilvl w:val="1"/>
          <w:numId w:val="51"/>
        </w:numPr>
        <w:rPr>
          <w:rFonts w:ascii="Arial" w:cs="Arial" w:eastAsia="Arial" w:hAnsi="Arial"/>
          <w:sz w:val="18"/>
          <w:szCs w:val="18"/>
          <w:color w:val="auto"/>
        </w:rPr>
      </w:pPr>
      <w:r>
        <w:rPr>
          <w:rFonts w:ascii="Arial" w:cs="Arial" w:eastAsia="Arial" w:hAnsi="Arial"/>
          <w:sz w:val="18"/>
          <w:szCs w:val="18"/>
          <w:color w:val="auto"/>
        </w:rPr>
        <w:t>If temporary Securities of any series are issued, the Company will cause definitive Securities of such series to be prepared without unreasonable delay. After the preparation of definitive Securities of such series, the temporary Securities of such series shall be exchangeable for definitive Securities of such series upon surrender of such temporary Securities at the office or agency of the Company in a Place of Payment for such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and of like tenor. Until so exchanged, the temporary Securities of any series shall in all respects be entitled to the same benefits under this Indenture as definitive Securities of such series.</w:t>
      </w:r>
    </w:p>
    <w:p>
      <w:pPr>
        <w:spacing w:after="0" w:line="216" w:lineRule="exact"/>
        <w:rPr>
          <w:rFonts w:ascii="Arial" w:cs="Arial" w:eastAsia="Arial" w:hAnsi="Arial"/>
          <w:sz w:val="18"/>
          <w:szCs w:val="18"/>
          <w:color w:val="auto"/>
        </w:rPr>
      </w:pPr>
    </w:p>
    <w:p>
      <w:pPr>
        <w:jc w:val="both"/>
        <w:ind w:firstLine="491"/>
        <w:spacing w:after="0" w:line="259" w:lineRule="auto"/>
        <w:tabs>
          <w:tab w:leader="none" w:pos="731"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any exchange of a portion of a temporary Global Security for a definitive Global Security or for the individual Securities represented thereby pursuant to this Section 3.04 or Section 3.06, the temporary Global Security shall be endorsed by the Trustee to reflect the reduction of the principal amount evidenced thereby, whereupon the principal amount of such temporary Global Security shall be reduced for all purposes by the amount so exchanged and endorsed.</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Registrar</w:t>
      </w:r>
      <w:r>
        <w:rPr>
          <w:rFonts w:ascii="Arial" w:cs="Arial" w:eastAsia="Arial" w:hAnsi="Arial"/>
          <w:sz w:val="18"/>
          <w:szCs w:val="18"/>
          <w:color w:val="auto"/>
        </w:rPr>
        <w:t>.</w:t>
      </w:r>
    </w:p>
    <w:p>
      <w:pPr>
        <w:spacing w:after="0" w:line="252" w:lineRule="exact"/>
        <w:rPr>
          <w:sz w:val="20"/>
          <w:szCs w:val="20"/>
          <w:color w:val="auto"/>
        </w:rPr>
      </w:pPr>
    </w:p>
    <w:p>
      <w:pPr>
        <w:jc w:val="both"/>
        <w:ind w:firstLine="524"/>
        <w:spacing w:after="0" w:line="272" w:lineRule="auto"/>
        <w:tabs>
          <w:tab w:leader="none" w:pos="764" w:val="left"/>
        </w:tabs>
        <w:numPr>
          <w:ilvl w:val="2"/>
          <w:numId w:val="53"/>
        </w:numPr>
        <w:rPr>
          <w:rFonts w:ascii="Arial" w:cs="Arial" w:eastAsia="Arial" w:hAnsi="Arial"/>
          <w:sz w:val="17"/>
          <w:szCs w:val="17"/>
          <w:color w:val="auto"/>
        </w:rPr>
      </w:pPr>
      <w:r>
        <w:rPr>
          <w:rFonts w:ascii="Arial" w:cs="Arial" w:eastAsia="Arial" w:hAnsi="Arial"/>
          <w:sz w:val="17"/>
          <w:szCs w:val="17"/>
          <w:color w:val="auto"/>
        </w:rPr>
        <w:t>The Company will keep, at an office or agency to be maintained by it in a Place of Payment where Securities may be presented for registration or presented and surrendered for registration of transfer or of exchange, and where Securities of any series that are convertible or exchangeable may be surrendered for conversion or exchange, as applicable (the “Registrar”), a security register for the registration and the registration of transfer or of exchange of the Securities (the registers maintained in such office and in any other office or agency of the Company in a Place of Payment being herein sometimes collectively referred to as the “Register”), as in this Indenture provided, which Register shall at all reasonable times be open for inspection by the Trustee. Such Register shall be in written form or in any other form capable of being converted into written form within a reasonable time. The Company may have one or more co-Registrars; the term “Registrar” includes any co-registrar.</w:t>
      </w:r>
    </w:p>
    <w:p>
      <w:pPr>
        <w:spacing w:after="0" w:line="204" w:lineRule="exact"/>
        <w:rPr>
          <w:rFonts w:ascii="Arial" w:cs="Arial" w:eastAsia="Arial" w:hAnsi="Arial"/>
          <w:sz w:val="17"/>
          <w:szCs w:val="17"/>
          <w:color w:val="auto"/>
        </w:rPr>
      </w:pPr>
    </w:p>
    <w:p>
      <w:pPr>
        <w:jc w:val="both"/>
        <w:ind w:firstLine="470"/>
        <w:spacing w:after="0" w:line="279" w:lineRule="auto"/>
        <w:tabs>
          <w:tab w:leader="none" w:pos="715"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Company shall enter into an appropriate agency agreement with any Registrar or co-Registrar not a party to this Indenture. The agreement shall implement the provisions of this Indenture that relate to such agent. The Company shall notify the Trustee of the name and address of each such agent. If the Company fails to maintain a Registrar for any series, the Trustee shall act as such and shall be entitled to appropriate compensation therefor pursuant to Section 11.01. The Company or any Affiliate thereof may act as Registrar, co-Registrar or transfer agent.</w:t>
      </w:r>
    </w:p>
    <w:p>
      <w:pPr>
        <w:spacing w:after="0" w:line="198" w:lineRule="exact"/>
        <w:rPr>
          <w:rFonts w:ascii="Arial" w:cs="Arial" w:eastAsia="Arial" w:hAnsi="Arial"/>
          <w:sz w:val="17"/>
          <w:szCs w:val="17"/>
          <w:color w:val="auto"/>
        </w:rPr>
      </w:pPr>
    </w:p>
    <w:p>
      <w:pPr>
        <w:ind w:firstLine="499"/>
        <w:spacing w:after="0" w:line="277" w:lineRule="auto"/>
        <w:tabs>
          <w:tab w:leader="none" w:pos="737"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hereby appoints the Trustee at its Corporate Trust Office as Registrar in connection with the Securities and this Indenture, until such time as another Person is appointed as such.</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252" w:lineRule="exact"/>
        <w:rPr>
          <w:sz w:val="20"/>
          <w:szCs w:val="20"/>
          <w:color w:val="auto"/>
        </w:rPr>
      </w:pPr>
    </w:p>
    <w:p>
      <w:pPr>
        <w:ind w:left="700" w:hanging="242"/>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Transfer.</w:t>
      </w:r>
    </w:p>
    <w:p>
      <w:pPr>
        <w:spacing w:after="0" w:line="252" w:lineRule="exact"/>
        <w:rPr>
          <w:rFonts w:ascii="Arial" w:cs="Arial" w:eastAsia="Arial" w:hAnsi="Arial"/>
          <w:sz w:val="18"/>
          <w:szCs w:val="18"/>
          <w:color w:val="auto"/>
        </w:rPr>
      </w:pPr>
    </w:p>
    <w:p>
      <w:pPr>
        <w:jc w:val="both"/>
        <w:ind w:right="20" w:firstLine="1055"/>
        <w:spacing w:after="0" w:line="302" w:lineRule="auto"/>
        <w:tabs>
          <w:tab w:leader="none" w:pos="1270" w:val="left"/>
        </w:tabs>
        <w:numPr>
          <w:ilvl w:val="1"/>
          <w:numId w:val="55"/>
        </w:numPr>
        <w:rPr>
          <w:rFonts w:ascii="Arial" w:cs="Arial" w:eastAsia="Arial" w:hAnsi="Arial"/>
          <w:sz w:val="16"/>
          <w:szCs w:val="16"/>
          <w:color w:val="auto"/>
        </w:rPr>
      </w:pPr>
      <w:r>
        <w:rPr>
          <w:rFonts w:ascii="Arial" w:cs="Arial" w:eastAsia="Arial" w:hAnsi="Arial"/>
          <w:sz w:val="16"/>
          <w:szCs w:val="16"/>
          <w:color w:val="auto"/>
        </w:rPr>
        <w:t>Upon surrender for registration of transfer of any Security of any series at the Registrar the Company shall execute, and the Trustee or any Authenticating Agent shall authenticate and deliver, in the name of the designated transferee, one or more new Securities of the same series for like aggregate principal amount of any authorized denomination or denominations. The transfer of any Security shall not be valid as against the Company or the Trustee unless registered at the Registrar at the request of the Holder, or at the request of his, her or its attorney duly authorized in writing.</w:t>
      </w:r>
    </w:p>
    <w:p>
      <w:pPr>
        <w:spacing w:after="0" w:line="181" w:lineRule="exact"/>
        <w:rPr>
          <w:rFonts w:ascii="Arial" w:cs="Arial" w:eastAsia="Arial" w:hAnsi="Arial"/>
          <w:sz w:val="16"/>
          <w:szCs w:val="16"/>
          <w:color w:val="auto"/>
        </w:rPr>
      </w:pPr>
    </w:p>
    <w:p>
      <w:pPr>
        <w:jc w:val="both"/>
        <w:ind w:firstLine="1084"/>
        <w:spacing w:after="0" w:line="279" w:lineRule="auto"/>
        <w:tabs>
          <w:tab w:leader="none" w:pos="1350" w:val="left"/>
        </w:tabs>
        <w:numPr>
          <w:ilvl w:val="2"/>
          <w:numId w:val="55"/>
        </w:numPr>
        <w:rPr>
          <w:rFonts w:ascii="Arial" w:cs="Arial" w:eastAsia="Arial" w:hAnsi="Arial"/>
          <w:sz w:val="17"/>
          <w:szCs w:val="17"/>
          <w:color w:val="auto"/>
        </w:rPr>
      </w:pPr>
      <w:r>
        <w:rPr>
          <w:rFonts w:ascii="Arial" w:cs="Arial" w:eastAsia="Arial" w:hAnsi="Arial"/>
          <w:sz w:val="17"/>
          <w:szCs w:val="17"/>
          <w:color w:val="auto"/>
        </w:rPr>
        <w:t>Notwithstanding any other provision of this Section 3.06, unless and until it is exchanged in whole or in part for the individual Securities represented thereby,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0" w:name="page41"/>
    <w:bookmarkEnd w:id="40"/>
    <w:p>
      <w:pPr>
        <w:ind w:left="720" w:hanging="262"/>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Exchange.</w:t>
      </w:r>
    </w:p>
    <w:p>
      <w:pPr>
        <w:spacing w:after="0" w:line="252" w:lineRule="exact"/>
        <w:rPr>
          <w:rFonts w:ascii="Arial" w:cs="Arial" w:eastAsia="Arial" w:hAnsi="Arial"/>
          <w:sz w:val="18"/>
          <w:szCs w:val="18"/>
          <w:color w:val="auto"/>
        </w:rPr>
      </w:pPr>
    </w:p>
    <w:p>
      <w:pPr>
        <w:jc w:val="both"/>
        <w:ind w:firstLine="1124"/>
        <w:spacing w:after="0" w:line="264" w:lineRule="auto"/>
        <w:tabs>
          <w:tab w:leader="none" w:pos="1332" w:val="left"/>
        </w:tabs>
        <w:numPr>
          <w:ilvl w:val="3"/>
          <w:numId w:val="56"/>
        </w:numPr>
        <w:rPr>
          <w:rFonts w:ascii="Arial" w:cs="Arial" w:eastAsia="Arial" w:hAnsi="Arial"/>
          <w:sz w:val="18"/>
          <w:szCs w:val="18"/>
          <w:color w:val="auto"/>
        </w:rPr>
      </w:pPr>
      <w:r>
        <w:rPr>
          <w:rFonts w:ascii="Arial" w:cs="Arial" w:eastAsia="Arial" w:hAnsi="Arial"/>
          <w:sz w:val="18"/>
          <w:szCs w:val="18"/>
          <w:color w:val="auto"/>
        </w:rPr>
        <w:t>At the option of the Holder, Securities of any series (other than a Global Security, except as set forth below) may be exchanged for other Securities of the same series for like aggregate principal amount of any authorized denomination or denominations, upon surrender of the Securities to be exchanged at the Registrar.</w:t>
      </w:r>
    </w:p>
    <w:p>
      <w:pPr>
        <w:spacing w:after="0" w:line="208" w:lineRule="exact"/>
        <w:rPr>
          <w:rFonts w:ascii="Arial" w:cs="Arial" w:eastAsia="Arial" w:hAnsi="Arial"/>
          <w:sz w:val="18"/>
          <w:szCs w:val="18"/>
          <w:color w:val="auto"/>
        </w:rPr>
      </w:pPr>
    </w:p>
    <w:p>
      <w:pPr>
        <w:ind w:firstLine="1117"/>
        <w:spacing w:after="0" w:line="277" w:lineRule="auto"/>
        <w:tabs>
          <w:tab w:leader="none" w:pos="1381" w:val="left"/>
        </w:tabs>
        <w:numPr>
          <w:ilvl w:val="3"/>
          <w:numId w:val="56"/>
        </w:numPr>
        <w:rPr>
          <w:rFonts w:ascii="Arial" w:cs="Arial" w:eastAsia="Arial" w:hAnsi="Arial"/>
          <w:sz w:val="18"/>
          <w:szCs w:val="18"/>
          <w:color w:val="auto"/>
        </w:rPr>
      </w:pPr>
      <w:r>
        <w:rPr>
          <w:rFonts w:ascii="Arial" w:cs="Arial" w:eastAsia="Arial" w:hAnsi="Arial"/>
          <w:sz w:val="18"/>
          <w:szCs w:val="18"/>
          <w:color w:val="auto"/>
        </w:rPr>
        <w:t>Whenever any Securities are so surrendered for exchange, the Company shall execute, and the Trustee shall authenticate and deliver, the Securities that the Holder making the exchange is entitled to receive.</w:t>
      </w:r>
    </w:p>
    <w:p>
      <w:pPr>
        <w:spacing w:after="0" w:line="197" w:lineRule="exact"/>
        <w:rPr>
          <w:rFonts w:ascii="Arial" w:cs="Arial" w:eastAsia="Arial" w:hAnsi="Arial"/>
          <w:sz w:val="18"/>
          <w:szCs w:val="18"/>
          <w:color w:val="auto"/>
        </w:rPr>
      </w:pPr>
    </w:p>
    <w:p>
      <w:pPr>
        <w:ind w:firstLine="550"/>
        <w:spacing w:after="0" w:line="277" w:lineRule="auto"/>
        <w:tabs>
          <w:tab w:leader="none" w:pos="795" w:val="left"/>
        </w:tabs>
        <w:numPr>
          <w:ilvl w:val="1"/>
          <w:numId w:val="56"/>
        </w:numPr>
        <w:rPr>
          <w:rFonts w:ascii="Arial" w:cs="Arial" w:eastAsia="Arial" w:hAnsi="Arial"/>
          <w:sz w:val="18"/>
          <w:szCs w:val="18"/>
          <w:color w:val="auto"/>
        </w:rPr>
      </w:pPr>
      <w:r>
        <w:rPr>
          <w:rFonts w:ascii="Arial" w:cs="Arial" w:eastAsia="Arial" w:hAnsi="Arial"/>
          <w:sz w:val="18"/>
          <w:szCs w:val="18"/>
          <w:color w:val="auto"/>
        </w:rPr>
        <w:t>Exchange of Global Securities for Individual Securities. Except as provided below, owners of beneficial interests in Global Securities will not be entitled to receive individual Securities.</w:t>
      </w:r>
    </w:p>
    <w:p>
      <w:pPr>
        <w:spacing w:after="0" w:line="197" w:lineRule="exact"/>
        <w:rPr>
          <w:rFonts w:ascii="Arial" w:cs="Arial" w:eastAsia="Arial" w:hAnsi="Arial"/>
          <w:sz w:val="18"/>
          <w:szCs w:val="18"/>
          <w:color w:val="auto"/>
        </w:rPr>
      </w:pPr>
    </w:p>
    <w:p>
      <w:pPr>
        <w:jc w:val="both"/>
        <w:ind w:firstLine="956"/>
        <w:spacing w:after="0" w:line="257" w:lineRule="auto"/>
        <w:tabs>
          <w:tab w:leader="none" w:pos="1165" w:val="left"/>
        </w:tabs>
        <w:numPr>
          <w:ilvl w:val="2"/>
          <w:numId w:val="56"/>
        </w:numPr>
        <w:rPr>
          <w:rFonts w:ascii="Arial" w:cs="Arial" w:eastAsia="Arial" w:hAnsi="Arial"/>
          <w:sz w:val="18"/>
          <w:szCs w:val="18"/>
          <w:color w:val="auto"/>
        </w:rPr>
      </w:pPr>
      <w:r>
        <w:rPr>
          <w:rFonts w:ascii="Arial" w:cs="Arial" w:eastAsia="Arial" w:hAnsi="Arial"/>
          <w:sz w:val="18"/>
          <w:szCs w:val="18"/>
          <w:color w:val="auto"/>
        </w:rPr>
        <w:t>Individual Securities shall be issued to all owners of beneficial interests in a Global Security in exchange for such interests if: (A) at any time the Depositary for the Securities of a series notifies the Company that it is unwilling or unable to continue as Depositary for the Securities of such series or if at any time the Depositary for the Securities of such series shall no longer be eligible under Section 3.03(h) and, in each case, a successor Depositary is not appointed by the Company within 90 days of such notice; or (B) the Company executes and delivers to the Trustee and the Registrar an Officer’s Certificate stating that such Global Security shall be so exchangeable.</w:t>
      </w:r>
    </w:p>
    <w:p>
      <w:pPr>
        <w:spacing w:after="0" w:line="215"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color w:val="auto"/>
        </w:rPr>
        <w:t>In connection with the exchange of an entire Global Security for individual Securities pursuant to this subsection (c), such Global Security shall be deemed to be surrendered to the Trustee for cancellation, and the Company shall execute, and the Trustee, upon receipt of a Company Order for the authentication and delivery of individual Securities of such series, will authenticate and deliver to each beneficial owner identified by the Depositary in exchange for its beneficial interest in such Global Security, an equal aggregate principal amount of individual Securities of authorized denominations.</w:t>
      </w:r>
    </w:p>
    <w:p>
      <w:pPr>
        <w:spacing w:after="0" w:line="198" w:lineRule="exact"/>
        <w:rPr>
          <w:sz w:val="20"/>
          <w:szCs w:val="20"/>
          <w:color w:val="auto"/>
        </w:rPr>
      </w:pPr>
    </w:p>
    <w:p>
      <w:pPr>
        <w:jc w:val="both"/>
        <w:ind w:firstLine="1058"/>
        <w:spacing w:after="0" w:line="257" w:lineRule="auto"/>
        <w:tabs>
          <w:tab w:leader="none" w:pos="1319"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owner of a beneficial interest in a Global Security will be entitled to receive an individual Security in exchange for such interest if an Event of Default has occurred and is continuing. Upon receipt by the Security Custodian and Registrar of instructions from the Holder of a Global Security directing the Security Custodian and Registrar to (x) issue one or more individual Securities in the amounts specified to the owner of a beneficial interest in such Global Security and (y) debit or cause to be debited an equivalent amount of beneficial interest in such Global Security, subject to the rules and regulations of the Depositary:</w:t>
      </w:r>
    </w:p>
    <w:p>
      <w:pPr>
        <w:spacing w:after="0" w:line="215" w:lineRule="exact"/>
        <w:rPr>
          <w:rFonts w:ascii="Arial" w:cs="Arial" w:eastAsia="Arial" w:hAnsi="Arial"/>
          <w:sz w:val="18"/>
          <w:szCs w:val="18"/>
          <w:color w:val="auto"/>
        </w:rPr>
      </w:pPr>
    </w:p>
    <w:p>
      <w:pPr>
        <w:ind w:firstLine="1423"/>
        <w:spacing w:after="0" w:line="277" w:lineRule="auto"/>
        <w:tabs>
          <w:tab w:leader="none" w:pos="1712"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Security Custodian and Registrar shall notify the Company and the Trustee of such instructions, identifying the owner and amount of such beneficial interest in such Global Security;</w:t>
      </w:r>
    </w:p>
    <w:p>
      <w:pPr>
        <w:spacing w:after="0" w:line="197" w:lineRule="exact"/>
        <w:rPr>
          <w:rFonts w:ascii="Arial" w:cs="Arial" w:eastAsia="Arial" w:hAnsi="Arial"/>
          <w:sz w:val="18"/>
          <w:szCs w:val="18"/>
          <w:color w:val="auto"/>
        </w:rPr>
      </w:pPr>
    </w:p>
    <w:p>
      <w:pPr>
        <w:jc w:val="both"/>
        <w:ind w:firstLine="1804"/>
        <w:spacing w:after="0" w:line="264" w:lineRule="auto"/>
        <w:tabs>
          <w:tab w:leader="none" w:pos="2096" w:val="left"/>
        </w:tabs>
        <w:numPr>
          <w:ilvl w:val="4"/>
          <w:numId w:val="57"/>
        </w:numPr>
        <w:rPr>
          <w:rFonts w:ascii="Arial" w:cs="Arial" w:eastAsia="Arial" w:hAnsi="Arial"/>
          <w:sz w:val="18"/>
          <w:szCs w:val="18"/>
          <w:color w:val="auto"/>
        </w:rPr>
      </w:pPr>
      <w:r>
        <w:rPr>
          <w:rFonts w:ascii="Arial" w:cs="Arial" w:eastAsia="Arial" w:hAnsi="Arial"/>
          <w:sz w:val="18"/>
          <w:szCs w:val="18"/>
          <w:color w:val="auto"/>
        </w:rPr>
        <w:t>the Company shall promptly execute and the Trustee, upon receipt of a Company Order for the authentication and delivery of individual Securities of such series, shall authenticate and deliver to such beneficial owner individual Securities in an equivalent amount to such beneficial interest in such Global Security; and</w:t>
      </w:r>
    </w:p>
    <w:p>
      <w:pPr>
        <w:spacing w:after="0" w:line="208" w:lineRule="exact"/>
        <w:rPr>
          <w:rFonts w:ascii="Arial" w:cs="Arial" w:eastAsia="Arial" w:hAnsi="Arial"/>
          <w:sz w:val="18"/>
          <w:szCs w:val="18"/>
          <w:color w:val="auto"/>
        </w:rPr>
      </w:pPr>
    </w:p>
    <w:p>
      <w:pPr>
        <w:jc w:val="both"/>
        <w:ind w:firstLine="1609"/>
        <w:spacing w:after="0" w:line="257" w:lineRule="auto"/>
        <w:tabs>
          <w:tab w:leader="none" w:pos="1895" w:val="left"/>
        </w:tabs>
        <w:numPr>
          <w:ilvl w:val="3"/>
          <w:numId w:val="57"/>
        </w:numPr>
        <w:rPr>
          <w:rFonts w:ascii="Arial" w:cs="Arial" w:eastAsia="Arial" w:hAnsi="Arial"/>
          <w:sz w:val="18"/>
          <w:szCs w:val="18"/>
          <w:color w:val="auto"/>
        </w:rPr>
      </w:pPr>
      <w:r>
        <w:rPr>
          <w:rFonts w:ascii="Arial" w:cs="Arial" w:eastAsia="Arial" w:hAnsi="Arial"/>
          <w:sz w:val="18"/>
          <w:szCs w:val="18"/>
          <w:color w:val="auto"/>
        </w:rPr>
        <w:t>the Security Custodian and Registrar shall decrease such Global Security by such amount in accordance with the foregoing. In the event that the individual Securities are not issued to each such beneficial owner promptly after the Registrar has received a request from the Holder of a Global Security to issue such individual Securities, the Company expressly acknowledges, with respect to the right of any Holder to pursue a remedy pursuant to Section 7.07, the right of any beneficial Holder of Securities to pursue such remedy with respect to the portion of the Global Security that represents such beneficial Holder’s Securities as if such individual Securities had been issued.</w:t>
      </w:r>
    </w:p>
    <w:p>
      <w:pPr>
        <w:spacing w:after="0" w:line="215" w:lineRule="exact"/>
        <w:rPr>
          <w:rFonts w:ascii="Arial" w:cs="Arial" w:eastAsia="Arial" w:hAnsi="Arial"/>
          <w:sz w:val="18"/>
          <w:szCs w:val="18"/>
          <w:color w:val="auto"/>
        </w:rPr>
      </w:pPr>
    </w:p>
    <w:p>
      <w:pPr>
        <w:jc w:val="both"/>
        <w:ind w:firstLine="988"/>
        <w:spacing w:after="0" w:line="259" w:lineRule="auto"/>
        <w:tabs>
          <w:tab w:leader="none" w:pos="1299"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specified by the Company pursuant to Section 3.01 with respect to a series of Securities, the Depositary for such series of Securities may surrender a Global Security for such series of Securities in exchange in whole or in part for individual Securities of such series on such terms as are acceptable to the Company and such Depositary. Thereupon, the Company shall execute, and the Trustee shall authenticate and deliver, without service charge: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1" w:name="page42"/>
    <w:bookmarkEnd w:id="41"/>
    <w:p>
      <w:pPr>
        <w:ind w:firstLine="1374"/>
        <w:spacing w:after="0" w:line="342" w:lineRule="auto"/>
        <w:tabs>
          <w:tab w:leader="none" w:pos="1661" w:val="left"/>
        </w:tabs>
        <w:numPr>
          <w:ilvl w:val="4"/>
          <w:numId w:val="59"/>
        </w:numPr>
        <w:rPr>
          <w:rFonts w:ascii="Arial" w:cs="Arial" w:eastAsia="Arial" w:hAnsi="Arial"/>
          <w:sz w:val="16"/>
          <w:szCs w:val="16"/>
          <w:color w:val="auto"/>
        </w:rPr>
      </w:pPr>
      <w:r>
        <w:rPr>
          <w:rFonts w:ascii="Arial" w:cs="Arial" w:eastAsia="Arial" w:hAnsi="Arial"/>
          <w:sz w:val="16"/>
          <w:szCs w:val="16"/>
          <w:color w:val="auto"/>
        </w:rPr>
        <w:t>to each Person specified by such Depositary a new individual Security or Securities of the same series, of any authorized denomination as requested by such Person in aggregate principal amount equal to and in exchange for such Person’s beneficial interest in the Global Security; and</w:t>
      </w:r>
    </w:p>
    <w:p>
      <w:pPr>
        <w:spacing w:after="0" w:line="150" w:lineRule="exact"/>
        <w:rPr>
          <w:rFonts w:ascii="Arial" w:cs="Arial" w:eastAsia="Arial" w:hAnsi="Arial"/>
          <w:sz w:val="16"/>
          <w:szCs w:val="16"/>
          <w:color w:val="auto"/>
        </w:rPr>
      </w:pPr>
    </w:p>
    <w:p>
      <w:pPr>
        <w:ind w:firstLine="1701"/>
        <w:spacing w:after="0" w:line="277" w:lineRule="auto"/>
        <w:tabs>
          <w:tab w:leader="none" w:pos="1989" w:val="left"/>
        </w:tabs>
        <w:numPr>
          <w:ilvl w:val="5"/>
          <w:numId w:val="59"/>
        </w:numPr>
        <w:rPr>
          <w:rFonts w:ascii="Arial" w:cs="Arial" w:eastAsia="Arial" w:hAnsi="Arial"/>
          <w:sz w:val="18"/>
          <w:szCs w:val="18"/>
          <w:color w:val="auto"/>
        </w:rPr>
      </w:pPr>
      <w:r>
        <w:rPr>
          <w:rFonts w:ascii="Arial" w:cs="Arial" w:eastAsia="Arial" w:hAnsi="Arial"/>
          <w:sz w:val="18"/>
          <w:szCs w:val="18"/>
          <w:color w:val="auto"/>
        </w:rPr>
        <w:t>to such Depositary a new Global Security in a denomination equal to the difference, if any, between the principal amount of the surrendered Global Security and the aggregate principal amount of individual Securities delivered to Holders thereof.</w:t>
      </w:r>
    </w:p>
    <w:p>
      <w:pPr>
        <w:spacing w:after="0" w:line="197" w:lineRule="exact"/>
        <w:rPr>
          <w:rFonts w:ascii="Arial" w:cs="Arial" w:eastAsia="Arial" w:hAnsi="Arial"/>
          <w:sz w:val="18"/>
          <w:szCs w:val="18"/>
          <w:color w:val="auto"/>
        </w:rPr>
      </w:pPr>
    </w:p>
    <w:p>
      <w:pPr>
        <w:ind w:firstLine="1011"/>
        <w:spacing w:after="0" w:line="277" w:lineRule="auto"/>
        <w:tabs>
          <w:tab w:leader="none" w:pos="1313" w:val="left"/>
        </w:tabs>
        <w:numPr>
          <w:ilvl w:val="3"/>
          <w:numId w:val="60"/>
        </w:numPr>
        <w:rPr>
          <w:rFonts w:ascii="Arial" w:cs="Arial" w:eastAsia="Arial" w:hAnsi="Arial"/>
          <w:sz w:val="18"/>
          <w:szCs w:val="18"/>
          <w:color w:val="auto"/>
        </w:rPr>
      </w:pPr>
      <w:r>
        <w:rPr>
          <w:rFonts w:ascii="Arial" w:cs="Arial" w:eastAsia="Arial" w:hAnsi="Arial"/>
          <w:sz w:val="18"/>
          <w:szCs w:val="18"/>
          <w:color w:val="auto"/>
        </w:rPr>
        <w:t>In any exchange provided for in clauses (i) through (iii), the Company will execute and the Trustee will authenticate and deliver individual Securities in registered form in authorized denominations.</w:t>
      </w:r>
    </w:p>
    <w:p>
      <w:pPr>
        <w:spacing w:after="0" w:line="197" w:lineRule="exact"/>
        <w:rPr>
          <w:rFonts w:ascii="Arial" w:cs="Arial" w:eastAsia="Arial" w:hAnsi="Arial"/>
          <w:sz w:val="18"/>
          <w:szCs w:val="18"/>
          <w:color w:val="auto"/>
        </w:rPr>
      </w:pPr>
    </w:p>
    <w:p>
      <w:pPr>
        <w:jc w:val="both"/>
        <w:ind w:firstLine="1062"/>
        <w:spacing w:after="0" w:line="279" w:lineRule="auto"/>
        <w:tabs>
          <w:tab w:leader="none" w:pos="1317" w:val="left"/>
        </w:tabs>
        <w:numPr>
          <w:ilvl w:val="3"/>
          <w:numId w:val="60"/>
        </w:numPr>
        <w:rPr>
          <w:rFonts w:ascii="Arial" w:cs="Arial" w:eastAsia="Arial" w:hAnsi="Arial"/>
          <w:sz w:val="17"/>
          <w:szCs w:val="17"/>
          <w:color w:val="auto"/>
        </w:rPr>
      </w:pPr>
      <w:r>
        <w:rPr>
          <w:rFonts w:ascii="Arial" w:cs="Arial" w:eastAsia="Arial" w:hAnsi="Arial"/>
          <w:sz w:val="17"/>
          <w:szCs w:val="17"/>
          <w:color w:val="auto"/>
        </w:rPr>
        <w:t>Upon the exchange in full of a Global Security for individual Securities, such Global Security shall be canceled by the Trustee. Individual Securities issued in exchange for a Global Security pursuant to this Section 3.06 shall be registered in such names and in such authorized denominations as the Depositary for such Global Security, pursuant to instructions from its direct or indirect participants or otherwise, shall instruct the Trustee. The Trustee shall deliver such Securities to the Persons in whose names such Securities are so registered.</w:t>
      </w:r>
    </w:p>
    <w:p>
      <w:pPr>
        <w:spacing w:after="0" w:line="198" w:lineRule="exact"/>
        <w:rPr>
          <w:rFonts w:ascii="Arial" w:cs="Arial" w:eastAsia="Arial" w:hAnsi="Arial"/>
          <w:sz w:val="17"/>
          <w:szCs w:val="17"/>
          <w:color w:val="auto"/>
        </w:rPr>
      </w:pPr>
    </w:p>
    <w:p>
      <w:pPr>
        <w:ind w:firstLine="466"/>
        <w:spacing w:after="0" w:line="308" w:lineRule="auto"/>
        <w:tabs>
          <w:tab w:leader="none" w:pos="704"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Securities issued upon any registration of transfer or exchange of Securities shall be valid obligations of the Company evidencing the same debt, and entitled to the same benefits under this Indenture, as the Securities surrendered for such registration of transfer or exchange.</w:t>
      </w:r>
    </w:p>
    <w:p>
      <w:pPr>
        <w:spacing w:after="0" w:line="173" w:lineRule="exact"/>
        <w:rPr>
          <w:rFonts w:ascii="Arial" w:cs="Arial" w:eastAsia="Arial" w:hAnsi="Arial"/>
          <w:sz w:val="17"/>
          <w:szCs w:val="17"/>
          <w:color w:val="auto"/>
        </w:rPr>
      </w:pPr>
    </w:p>
    <w:p>
      <w:pPr>
        <w:jc w:val="both"/>
        <w:ind w:firstLine="482"/>
        <w:spacing w:after="0" w:line="264" w:lineRule="auto"/>
        <w:tabs>
          <w:tab w:leader="none" w:pos="721"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Every Security presented or surrendered for registration of transfer, or for exchange or payment shall (if so required by the Company, the Trustee or the Registrar) be duly endorsed, or be accompanied by a written instrument or instruments of transfer in form satisfactory to the Company, the Trustee and the Registrar, duly executed by the Holder thereof or by his, her or its attorney duly authorized in writing.</w:t>
      </w:r>
    </w:p>
    <w:p>
      <w:pPr>
        <w:spacing w:after="0" w:line="208" w:lineRule="exact"/>
        <w:rPr>
          <w:rFonts w:ascii="Arial" w:cs="Arial" w:eastAsia="Arial" w:hAnsi="Arial"/>
          <w:sz w:val="18"/>
          <w:szCs w:val="18"/>
          <w:color w:val="auto"/>
        </w:rPr>
      </w:pPr>
    </w:p>
    <w:p>
      <w:pPr>
        <w:jc w:val="both"/>
        <w:ind w:firstLine="493"/>
        <w:spacing w:after="0" w:line="312" w:lineRule="auto"/>
        <w:tabs>
          <w:tab w:leader="none" w:pos="713" w:val="left"/>
        </w:tabs>
        <w:numPr>
          <w:ilvl w:val="1"/>
          <w:numId w:val="61"/>
        </w:numPr>
        <w:rPr>
          <w:rFonts w:ascii="Arial" w:cs="Arial" w:eastAsia="Arial" w:hAnsi="Arial"/>
          <w:sz w:val="16"/>
          <w:szCs w:val="16"/>
          <w:color w:val="auto"/>
        </w:rPr>
      </w:pPr>
      <w:r>
        <w:rPr>
          <w:rFonts w:ascii="Arial" w:cs="Arial" w:eastAsia="Arial" w:hAnsi="Arial"/>
          <w:sz w:val="16"/>
          <w:szCs w:val="16"/>
          <w:color w:val="auto"/>
        </w:rPr>
        <w:t>No service charge will be made for any registration of transfer or exchange of Securities. The Company may require payment of a sum sufficient to cover any tax, assessment or other governmental charge that may be imposed in connection with any registration of transfer or exchange of Securities, other than those expressly provided in this Indenture to be made at the Company’s own expense or without expense or charge to the Holders.</w:t>
      </w:r>
    </w:p>
    <w:p>
      <w:pPr>
        <w:spacing w:after="0" w:line="173" w:lineRule="exact"/>
        <w:rPr>
          <w:rFonts w:ascii="Arial" w:cs="Arial" w:eastAsia="Arial" w:hAnsi="Arial"/>
          <w:sz w:val="16"/>
          <w:szCs w:val="16"/>
          <w:color w:val="auto"/>
        </w:rPr>
      </w:pPr>
    </w:p>
    <w:p>
      <w:pPr>
        <w:jc w:val="both"/>
        <w:ind w:firstLine="470"/>
        <w:spacing w:after="0" w:line="259" w:lineRule="auto"/>
        <w:tabs>
          <w:tab w:leader="none" w:pos="714"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Company shall not be required to: (i) register, transfer or exchange Securities of any series during a period beginning at the opening of business 15 days before the day of the transmission of a notice of redemption of Securities of such series selected for redemption under Section 4.03 and ending at the close of business on the day of such transmission; or (ii) register, transfer or exchange any Security so selected for redemption in whole or in part, except the unredeemed portion of any Security being redeemed in part.</w:t>
      </w:r>
    </w:p>
    <w:p>
      <w:pPr>
        <w:spacing w:after="0" w:line="213" w:lineRule="exact"/>
        <w:rPr>
          <w:rFonts w:ascii="Arial" w:cs="Arial" w:eastAsia="Arial" w:hAnsi="Arial"/>
          <w:sz w:val="18"/>
          <w:szCs w:val="18"/>
          <w:color w:val="auto"/>
        </w:rPr>
      </w:pPr>
    </w:p>
    <w:p>
      <w:pPr>
        <w:jc w:val="both"/>
        <w:ind w:firstLine="478"/>
        <w:spacing w:after="0" w:line="302" w:lineRule="auto"/>
        <w:tabs>
          <w:tab w:leader="none" w:pos="727" w:val="left"/>
        </w:tabs>
        <w:numPr>
          <w:ilvl w:val="2"/>
          <w:numId w:val="61"/>
        </w:numPr>
        <w:rPr>
          <w:rFonts w:ascii="Arial" w:cs="Arial" w:eastAsia="Arial" w:hAnsi="Arial"/>
          <w:sz w:val="16"/>
          <w:szCs w:val="16"/>
          <w:color w:val="auto"/>
        </w:rPr>
      </w:pPr>
      <w:r>
        <w:rPr>
          <w:rFonts w:ascii="Arial" w:cs="Arial" w:eastAsia="Arial" w:hAnsi="Arial"/>
          <w:sz w:val="16"/>
          <w:szCs w:val="16"/>
          <w:color w:val="auto"/>
        </w:rPr>
        <w:t>Prior to the due presentation for registration of transfer or exchange of any Security, the Company, the Trustee, the Paying Agent, the Registrar, any co-Registrar or any of their agents may deem and treat the Person in whose name a Security is registered as the absolute owner of such Security (whether or not such Security shall be overdue and notwithstanding any notation of ownership or other writing thereon) for all purposes whatsoever, and none of the Company, the Trustee, the Paying Agent, the Registrar, any co-Registrar or any of their agents shall be affected by any notice to the contrary.</w:t>
      </w:r>
    </w:p>
    <w:p>
      <w:pPr>
        <w:spacing w:after="0" w:line="181" w:lineRule="exact"/>
        <w:rPr>
          <w:rFonts w:ascii="Arial" w:cs="Arial" w:eastAsia="Arial" w:hAnsi="Arial"/>
          <w:sz w:val="16"/>
          <w:szCs w:val="16"/>
          <w:color w:val="auto"/>
        </w:rPr>
      </w:pPr>
    </w:p>
    <w:p>
      <w:pPr>
        <w:jc w:val="both"/>
        <w:ind w:firstLine="502"/>
        <w:spacing w:after="0" w:line="271" w:lineRule="auto"/>
        <w:tabs>
          <w:tab w:leader="none" w:pos="713" w:val="left"/>
        </w:tabs>
        <w:numPr>
          <w:ilvl w:val="1"/>
          <w:numId w:val="62"/>
        </w:numPr>
        <w:rPr>
          <w:rFonts w:ascii="Arial" w:cs="Arial" w:eastAsia="Arial" w:hAnsi="Arial"/>
          <w:sz w:val="17"/>
          <w:szCs w:val="17"/>
          <w:color w:val="auto"/>
        </w:rPr>
      </w:pPr>
      <w:r>
        <w:rPr>
          <w:rFonts w:ascii="Arial" w:cs="Arial" w:eastAsia="Arial" w:hAnsi="Arial"/>
          <w:sz w:val="17"/>
          <w:szCs w:val="17"/>
          <w:color w:val="auto"/>
        </w:rPr>
        <w:t>In case a successor Company (“Successor Company”) has executed an indenture supplemental hereto with the Trustee pursuant to Article XIV, any of the Securities authenticated or delivered pursuant to such transaction may, from time to time, at the request of the Successor Company, be exchanged for other Securities executed in the name of the Successor Company with such changes in phraseology and form as may be appropriate, but otherwise identical to the Securities surrendered for such exchange and of like principal amount; and the Trustee, upon Company Order of the Successor Company, shall authenticate and deliver Securities as specified in such order for the purpose of such exchange. If Securities shall at any time be authenticated and delivered in any new name of a Successor Company pursuant to this Section 3.06 in exchange or substitution for or upon registration of transfer of any Securities, such Successor Company, at the option of the Holders but without expense to them, shall provide for the exchange of all Securities at the time Outstanding for Securities authenticated and delivered in such new name.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2" w:name="page43"/>
    <w:bookmarkEnd w:id="42"/>
    <w:p>
      <w:pPr>
        <w:ind w:firstLine="589"/>
        <w:spacing w:after="0" w:line="308" w:lineRule="auto"/>
        <w:tabs>
          <w:tab w:leader="none" w:pos="809" w:val="left"/>
        </w:tabs>
        <w:numPr>
          <w:ilvl w:val="2"/>
          <w:numId w:val="63"/>
        </w:numPr>
        <w:rPr>
          <w:rFonts w:ascii="Arial" w:cs="Arial" w:eastAsia="Arial" w:hAnsi="Arial"/>
          <w:sz w:val="17"/>
          <w:szCs w:val="17"/>
          <w:color w:val="auto"/>
        </w:rPr>
      </w:pPr>
      <w:r>
        <w:rPr>
          <w:rFonts w:ascii="Arial" w:cs="Arial" w:eastAsia="Arial" w:hAnsi="Arial"/>
          <w:sz w:val="17"/>
          <w:szCs w:val="17"/>
          <w:color w:val="auto"/>
        </w:rPr>
        <w:t>Each Holder of a Security agrees to indemnify the Company and the Trustee against any liability that may result from the transfer, exchange or assignment of such Holder’s Security in violation of any provision of this Indenture and/or applicable United States federal or state securities laws.</w:t>
      </w:r>
    </w:p>
    <w:p>
      <w:pPr>
        <w:spacing w:after="0" w:line="173" w:lineRule="exact"/>
        <w:rPr>
          <w:rFonts w:ascii="Arial" w:cs="Arial" w:eastAsia="Arial" w:hAnsi="Arial"/>
          <w:sz w:val="17"/>
          <w:szCs w:val="17"/>
          <w:color w:val="auto"/>
        </w:rPr>
      </w:pPr>
    </w:p>
    <w:p>
      <w:pPr>
        <w:jc w:val="both"/>
        <w:ind w:firstLine="506"/>
        <w:spacing w:after="0" w:line="259" w:lineRule="auto"/>
        <w:tabs>
          <w:tab w:leader="none" w:pos="754"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213" w:lineRule="exact"/>
        <w:rPr>
          <w:rFonts w:ascii="Arial" w:cs="Arial" w:eastAsia="Arial" w:hAnsi="Arial"/>
          <w:sz w:val="18"/>
          <w:szCs w:val="18"/>
          <w:color w:val="auto"/>
        </w:rPr>
      </w:pPr>
    </w:p>
    <w:p>
      <w:pPr>
        <w:ind w:left="680" w:hanging="222"/>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Neither the Trustee nor any agent of the Trustee shall have any responsibility for any actions taken or not taken by the Depositary.</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w:t>
      </w:r>
    </w:p>
    <w:p>
      <w:pPr>
        <w:spacing w:after="0" w:line="252" w:lineRule="exact"/>
        <w:rPr>
          <w:sz w:val="20"/>
          <w:szCs w:val="20"/>
          <w:color w:val="auto"/>
        </w:rPr>
      </w:pPr>
    </w:p>
    <w:p>
      <w:pPr>
        <w:jc w:val="both"/>
        <w:ind w:firstLine="462"/>
        <w:spacing w:after="0" w:line="293" w:lineRule="auto"/>
        <w:tabs>
          <w:tab w:leader="none" w:pos="699"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(i) any mutilated Security is surrendered to the Trustee at its Corporate Trust Office; or (ii) the Company and the Trustee receive evidence to their satisfaction of the destruction, loss or theft of any Security, and there is delivered to the Company and the Trustee security or indemnity bond satisfactory to them to save each of them and any Paying Agent harmless, and neither the Company nor the Trustee receives notice that such Security has been acquired by a protected purchaser, then the Company shall execute and upon Company Order the Trustee shall authenticate and deliver, in exchange for or in lieu of any such mutilated, destroyed, lost or stolen Security, a new Security of the same series and of like tenor, form, terms and principal amount, bearing a number not contemporaneously outstanding, that neither gain nor loss in interest shall result from such exchange or substitution.</w:t>
      </w:r>
    </w:p>
    <w:p>
      <w:pPr>
        <w:spacing w:after="0" w:line="191" w:lineRule="exact"/>
        <w:rPr>
          <w:rFonts w:ascii="Arial" w:cs="Arial" w:eastAsia="Arial" w:hAnsi="Arial"/>
          <w:sz w:val="16"/>
          <w:szCs w:val="16"/>
          <w:color w:val="auto"/>
        </w:rPr>
      </w:pPr>
    </w:p>
    <w:p>
      <w:pPr>
        <w:ind w:firstLine="469"/>
        <w:spacing w:after="0" w:line="277" w:lineRule="auto"/>
        <w:tabs>
          <w:tab w:leader="none" w:pos="717"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the amount due on such Security in accordance with its terms.</w:t>
      </w:r>
    </w:p>
    <w:p>
      <w:pPr>
        <w:spacing w:after="0" w:line="197" w:lineRule="exact"/>
        <w:rPr>
          <w:rFonts w:ascii="Arial" w:cs="Arial" w:eastAsia="Arial" w:hAnsi="Arial"/>
          <w:sz w:val="18"/>
          <w:szCs w:val="18"/>
          <w:color w:val="auto"/>
        </w:rPr>
      </w:pPr>
    </w:p>
    <w:p>
      <w:pPr>
        <w:ind w:firstLine="487"/>
        <w:spacing w:after="0" w:line="342" w:lineRule="auto"/>
        <w:tabs>
          <w:tab w:leader="none" w:pos="727" w:val="left"/>
        </w:tabs>
        <w:numPr>
          <w:ilvl w:val="1"/>
          <w:numId w:val="66"/>
        </w:numPr>
        <w:rPr>
          <w:rFonts w:ascii="Arial" w:cs="Arial" w:eastAsia="Arial" w:hAnsi="Arial"/>
          <w:sz w:val="16"/>
          <w:szCs w:val="16"/>
          <w:color w:val="auto"/>
        </w:rPr>
      </w:pPr>
      <w:r>
        <w:rPr>
          <w:rFonts w:ascii="Arial" w:cs="Arial" w:eastAsia="Arial" w:hAnsi="Arial"/>
          <w:sz w:val="16"/>
          <w:szCs w:val="16"/>
          <w:color w:val="auto"/>
        </w:rPr>
        <w:t>Upon the issuance of any new Security under this Section 3.07, the Company may require the payment of a sum sufficient to cover any tax or other governmental charge that may be imposed in respect thereto and any other expenses (including the fees and expenses of the Trustee) connected therewith.</w:t>
      </w:r>
    </w:p>
    <w:p>
      <w:pPr>
        <w:spacing w:after="0" w:line="150" w:lineRule="exact"/>
        <w:rPr>
          <w:rFonts w:ascii="Arial" w:cs="Arial" w:eastAsia="Arial" w:hAnsi="Arial"/>
          <w:sz w:val="16"/>
          <w:szCs w:val="16"/>
          <w:color w:val="auto"/>
        </w:rPr>
      </w:pPr>
    </w:p>
    <w:p>
      <w:pPr>
        <w:jc w:val="both"/>
        <w:ind w:firstLine="509"/>
        <w:spacing w:after="0" w:line="264" w:lineRule="auto"/>
        <w:tabs>
          <w:tab w:leader="none" w:pos="761" w:val="left"/>
        </w:tabs>
        <w:numPr>
          <w:ilvl w:val="2"/>
          <w:numId w:val="66"/>
        </w:numPr>
        <w:rPr>
          <w:rFonts w:ascii="Arial" w:cs="Arial" w:eastAsia="Arial" w:hAnsi="Arial"/>
          <w:sz w:val="18"/>
          <w:szCs w:val="18"/>
          <w:color w:val="auto"/>
        </w:rPr>
      </w:pPr>
      <w:r>
        <w:rPr>
          <w:rFonts w:ascii="Arial" w:cs="Arial" w:eastAsia="Arial" w:hAnsi="Arial"/>
          <w:sz w:val="18"/>
          <w:szCs w:val="18"/>
          <w:color w:val="auto"/>
        </w:rPr>
        <w:t>Every new Security of any series issued pursuant to this Section 3.07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208" w:lineRule="exact"/>
        <w:rPr>
          <w:sz w:val="20"/>
          <w:szCs w:val="20"/>
          <w:color w:val="auto"/>
        </w:rPr>
      </w:pPr>
    </w:p>
    <w:p>
      <w:pPr>
        <w:ind w:firstLine="700"/>
        <w:spacing w:after="0" w:line="277" w:lineRule="auto"/>
        <w:tabs>
          <w:tab w:leader="none" w:pos="95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provisions of this Section 3.07 are exclusive and shall preclude (to the extent lawful) all other rights and remedies with respect to the replacement or payment of mutilated, destroyed, lost or stolen Securities.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Payment of Interest; Interest Rights Preserved</w:t>
      </w:r>
      <w:r>
        <w:rPr>
          <w:rFonts w:ascii="Arial" w:cs="Arial" w:eastAsia="Arial" w:hAnsi="Arial"/>
          <w:sz w:val="18"/>
          <w:szCs w:val="18"/>
          <w:color w:val="auto"/>
        </w:rPr>
        <w:t>.</w:t>
      </w:r>
    </w:p>
    <w:p>
      <w:pPr>
        <w:spacing w:after="0" w:line="252" w:lineRule="exact"/>
        <w:rPr>
          <w:sz w:val="20"/>
          <w:szCs w:val="20"/>
          <w:color w:val="auto"/>
        </w:rPr>
      </w:pPr>
    </w:p>
    <w:p>
      <w:pPr>
        <w:jc w:val="both"/>
        <w:ind w:firstLine="589"/>
        <w:spacing w:after="0" w:line="255" w:lineRule="auto"/>
        <w:tabs>
          <w:tab w:leader="none" w:pos="839"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Interest on any Security that is payable and is punctually paid or duly provided for on any Interest Payment Date shall be paid to the Person in whose name such Security (or one or more Predecessor Securities) is registered at the close of business on the Record Date for such interest notwithstanding the cancellation of such Security upon any transfer or exchange subsequent to the Record Date. Payment of interest on Securities shall be made at the Corporate Trust Office (except as otherwise specified pursuant to Section 3.01) or, at the option of the Company, by check mailed to the address of the Person entitled thereto as such address shall appear in the Register or, in accordance with arrangements satisfactory to the Trustee, by wire transfer to an account designated by the Holder.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p>
      <w:pPr>
        <w:jc w:val="both"/>
        <w:ind w:firstLine="500"/>
        <w:spacing w:after="0" w:line="264" w:lineRule="auto"/>
        <w:tabs>
          <w:tab w:leader="none" w:pos="742"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interest on any Security that is payable but is not punctually paid or duly provided for on any Interest Payment Date (herein called “Defaulted Interest”) shall forthwith cease to be payable to the Holder on the relevant Record Date by virtue of his, her or its having been such a Holder, and such Defaulted Interest may be paid by the Company, at its election in each case, as provided in clause (i) or (ii) below:</w:t>
      </w:r>
    </w:p>
    <w:p>
      <w:pPr>
        <w:spacing w:after="0" w:line="208" w:lineRule="exact"/>
        <w:rPr>
          <w:rFonts w:ascii="Arial" w:cs="Arial" w:eastAsia="Arial" w:hAnsi="Arial"/>
          <w:sz w:val="18"/>
          <w:szCs w:val="18"/>
          <w:color w:val="auto"/>
        </w:rPr>
      </w:pPr>
    </w:p>
    <w:p>
      <w:pPr>
        <w:jc w:val="both"/>
        <w:ind w:firstLine="1204"/>
        <w:spacing w:after="0" w:line="286" w:lineRule="auto"/>
        <w:tabs>
          <w:tab w:leader="none" w:pos="1422" w:val="left"/>
        </w:tabs>
        <w:numPr>
          <w:ilvl w:val="3"/>
          <w:numId w:val="69"/>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such Securities (or their respective Predecessor Securities) are registered at the close of business on a special record date for the payment of such Defaulted Interest (a “Special Record Date”),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calendar days and not less than 10 calendar days prior to the date of the proposed payment and not less than 10 calendar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the Holders of such Securities at their addresses as they appear in the Register, not less than 10 calendar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at the close of business on such Special Record Date and shall no longer be payable pursuant to the following clause (ii).</w:t>
      </w:r>
    </w:p>
    <w:p>
      <w:pPr>
        <w:spacing w:after="0" w:line="198" w:lineRule="exact"/>
        <w:rPr>
          <w:rFonts w:ascii="Arial" w:cs="Arial" w:eastAsia="Arial" w:hAnsi="Arial"/>
          <w:sz w:val="16"/>
          <w:szCs w:val="16"/>
          <w:color w:val="auto"/>
        </w:rPr>
      </w:pPr>
    </w:p>
    <w:p>
      <w:pPr>
        <w:jc w:val="both"/>
        <w:ind w:firstLine="987"/>
        <w:spacing w:after="0" w:line="312" w:lineRule="auto"/>
        <w:tabs>
          <w:tab w:leader="none" w:pos="1245" w:val="left"/>
        </w:tabs>
        <w:numPr>
          <w:ilvl w:val="2"/>
          <w:numId w:val="69"/>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3" w:lineRule="exact"/>
        <w:rPr>
          <w:rFonts w:ascii="Arial" w:cs="Arial" w:eastAsia="Arial" w:hAnsi="Arial"/>
          <w:sz w:val="16"/>
          <w:szCs w:val="16"/>
          <w:color w:val="auto"/>
        </w:rPr>
      </w:pPr>
    </w:p>
    <w:p>
      <w:pPr>
        <w:jc w:val="both"/>
        <w:ind w:firstLine="458"/>
        <w:spacing w:after="0" w:line="264"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Subject to the provisions set forth herein relating to Record Dates, each Security delivered pursuant to any provision of this Indenture in exchange or substitution for, or upon registration of transfer of, any other Security shall carry all the rights to interest accrued and unpaid, and to accrue, which were carried by such other Security.</w:t>
      </w:r>
    </w:p>
    <w:p>
      <w:pPr>
        <w:spacing w:after="0" w:line="208" w:lineRule="exact"/>
        <w:rPr>
          <w:sz w:val="20"/>
          <w:szCs w:val="20"/>
          <w:color w:val="auto"/>
        </w:rPr>
      </w:pPr>
    </w:p>
    <w:p>
      <w:pPr>
        <w:jc w:val="both"/>
        <w:ind w:firstLine="598"/>
        <w:spacing w:after="0" w:line="270"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u w:val="single" w:color="auto"/>
          <w:color w:val="auto"/>
        </w:rPr>
        <w:t>Cancellation</w:t>
      </w:r>
      <w:r>
        <w:rPr>
          <w:rFonts w:ascii="Arial" w:cs="Arial" w:eastAsia="Arial" w:hAnsi="Arial"/>
          <w:sz w:val="17"/>
          <w:szCs w:val="17"/>
          <w:color w:val="auto"/>
        </w:rPr>
        <w:t>. Unless otherwise specified pursuant to Section 3.01 for Securities of any series, all Securities surrendered for payment, redemption, registration of transfer or exchange or credit against any sinking fund or otherwise shall, if surrendered to any Person other than the Trustee, be delivered to the Trustee for cancellation and shall be promptly canceled by it and, if surrendered to the Trustee, shall be promptly canceled by it. The Company may at any time deliver to the Trustee for cancellation any Securities previously authenticated and delivered hereunder that the Company may have acquired in any manner whatsoever, and all Securities so delivered shall be promptly canceled by the Trustee. No Securities shall be authenticated in lieu of or in exchange for any Securities canceled as provided in this Section 3.09, except as expressly permitted by this Indenture. The Trustee shall dispose of all canceled Securities held by it in accordance with its then customary procedures and deliver a certificate of such disposal to the Company upon its request therefor. The acquisition of any Securities by the Company shall not operate as a redemption or satisfaction of the Indebtedness represented thereby unless and until such Securities are surrendered to the Trustee for cancellation.</w:t>
      </w:r>
    </w:p>
    <w:p>
      <w:pPr>
        <w:spacing w:after="0" w:line="209" w:lineRule="exact"/>
        <w:rPr>
          <w:sz w:val="20"/>
          <w:szCs w:val="20"/>
          <w:color w:val="auto"/>
        </w:rPr>
      </w:pPr>
    </w:p>
    <w:p>
      <w:pPr>
        <w:jc w:val="both"/>
        <w:ind w:right="20" w:firstLine="517"/>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 Except as otherwise specified pursuant to Section 3.01 for Securities of any series, interest on the Securities of each series shall be computed on the basis of a 360-day year of twelve 30-day months.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Currency of Payments in Respect of Securities</w:t>
      </w:r>
      <w:r>
        <w:rPr>
          <w:rFonts w:ascii="Arial" w:cs="Arial" w:eastAsia="Arial" w:hAnsi="Arial"/>
          <w:sz w:val="18"/>
          <w:szCs w:val="18"/>
          <w:color w:val="auto"/>
        </w:rPr>
        <w:t>.</w:t>
      </w:r>
    </w:p>
    <w:p>
      <w:pPr>
        <w:spacing w:after="0" w:line="252" w:lineRule="exact"/>
        <w:rPr>
          <w:sz w:val="20"/>
          <w:szCs w:val="20"/>
          <w:color w:val="auto"/>
        </w:rPr>
      </w:pPr>
    </w:p>
    <w:p>
      <w:pPr>
        <w:ind w:right="20" w:firstLine="493"/>
        <w:spacing w:after="0" w:line="277" w:lineRule="auto"/>
        <w:tabs>
          <w:tab w:leader="none" w:pos="733" w:val="left"/>
        </w:tabs>
        <w:numPr>
          <w:ilvl w:val="1"/>
          <w:numId w:val="71"/>
        </w:numPr>
        <w:rPr>
          <w:rFonts w:ascii="Arial" w:cs="Arial" w:eastAsia="Arial" w:hAnsi="Arial"/>
          <w:sz w:val="18"/>
          <w:szCs w:val="18"/>
          <w:color w:val="auto"/>
        </w:rPr>
      </w:pPr>
      <w:r>
        <w:rPr>
          <w:rFonts w:ascii="Arial" w:cs="Arial" w:eastAsia="Arial" w:hAnsi="Arial"/>
          <w:sz w:val="18"/>
          <w:szCs w:val="18"/>
          <w:color w:val="auto"/>
        </w:rPr>
        <w:t>Except as otherwise specified pursuant to Section 3.01 for Securities of any series, payment of the principal of and premium, if any, and interest on Securities of such series will be made in U.S. Dollars.</w:t>
      </w:r>
    </w:p>
    <w:p>
      <w:pPr>
        <w:spacing w:after="0" w:line="197" w:lineRule="exact"/>
        <w:rPr>
          <w:rFonts w:ascii="Arial" w:cs="Arial" w:eastAsia="Arial" w:hAnsi="Arial"/>
          <w:sz w:val="18"/>
          <w:szCs w:val="18"/>
          <w:color w:val="auto"/>
        </w:rPr>
      </w:pPr>
    </w:p>
    <w:p>
      <w:pPr>
        <w:jc w:val="both"/>
        <w:ind w:firstLine="494"/>
        <w:spacing w:after="0" w:line="293" w:lineRule="auto"/>
        <w:tabs>
          <w:tab w:leader="none" w:pos="744" w:val="left"/>
        </w:tabs>
        <w:numPr>
          <w:ilvl w:val="1"/>
          <w:numId w:val="71"/>
        </w:numPr>
        <w:rPr>
          <w:rFonts w:ascii="Arial" w:cs="Arial" w:eastAsia="Arial" w:hAnsi="Arial"/>
          <w:sz w:val="16"/>
          <w:szCs w:val="16"/>
          <w:color w:val="auto"/>
        </w:rPr>
      </w:pPr>
      <w:r>
        <w:rPr>
          <w:rFonts w:ascii="Arial" w:cs="Arial" w:eastAsia="Arial" w:hAnsi="Arial"/>
          <w:sz w:val="16"/>
          <w:szCs w:val="16"/>
          <w:color w:val="auto"/>
        </w:rPr>
        <w:t>For purposes of any provision of this Indenture in which the Holders of Outstanding Securities may perform an action that requires that a specified percentage of the Outstanding Securities of all series perform such action and for purposes of any decision or determination by the Trustee of amounts due and unpaid for the principal of and premium, if any, and interest on the Securities of all series in respect of which moneys are to be disbursed ratably, the principal of and premium, if any, and interest on the Outstanding Securities denominated in a Foreign Currency will be the amount in U.S. Dollars based upon exchange rates, determined as specified pursuant to Section 3.01 for Securities of such series, as of the date for determining whether the Holders entitled to perform such action have performed it or as of the date of such decision or determination by the Trustee, as the case may be.</w:t>
      </w:r>
    </w:p>
    <w:p>
      <w:pPr>
        <w:spacing w:after="0" w:line="191" w:lineRule="exact"/>
        <w:rPr>
          <w:rFonts w:ascii="Arial" w:cs="Arial" w:eastAsia="Arial" w:hAnsi="Arial"/>
          <w:sz w:val="16"/>
          <w:szCs w:val="16"/>
          <w:color w:val="auto"/>
        </w:rPr>
      </w:pPr>
    </w:p>
    <w:p>
      <w:pPr>
        <w:jc w:val="both"/>
        <w:ind w:firstLine="470"/>
        <w:spacing w:after="0" w:line="276" w:lineRule="auto"/>
        <w:tabs>
          <w:tab w:leader="none" w:pos="698"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decision or determination to be made regarding exchange rates shall be made by an agent appointed by the Company; provided, that such agent shall accept such appointment in writing and the terms of such appointment shall, in the opinion of the Company at the time of such appointment, require such agent to make such determination by a method consistent with the method provided pursuant to Section 3.01 for the making of such decision or determination. All decisions and determinations of such agent regarding exchange rates shall, in the absence of manifest error, be conclusive for all purposes and irrevocably binding upon the Company, the Trustee and all Holders of the Securities.</w:t>
      </w:r>
    </w:p>
    <w:p>
      <w:pPr>
        <w:spacing w:after="0" w:line="200" w:lineRule="exact"/>
        <w:rPr>
          <w:sz w:val="20"/>
          <w:szCs w:val="20"/>
          <w:color w:val="auto"/>
        </w:rPr>
      </w:pPr>
    </w:p>
    <w:p>
      <w:pPr>
        <w:jc w:val="both"/>
        <w:ind w:firstLine="450"/>
        <w:spacing w:after="0" w:line="287"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Judgments</w:t>
      </w:r>
      <w:r>
        <w:rPr>
          <w:rFonts w:ascii="Arial" w:cs="Arial" w:eastAsia="Arial" w:hAnsi="Arial"/>
          <w:sz w:val="16"/>
          <w:szCs w:val="16"/>
          <w:color w:val="auto"/>
        </w:rPr>
        <w:t>. The Company may provide pursuant to Section 3.01 for Securities of any series that: (a) the obligation, if any, of the Company to pay the principal of, premium, if any, and interest on the Securities of any series in a Foreign Currency or U.S. Dollars (the “Designated Currency”) as may be specified pursuant to Section 3.01 is of the essence and agrees that, to the fullest extent possible under applicable law, judgments in respect of such Securities shall be given in the Designated Currency; (b) the obligation of the Company to make payments in the Designated Currency of the principal of and premium, if any, and interest on such Securities shall, notwithstanding any payment in any other Currency (whether pursuant to a judgment or otherwise), be discharged only to the extent of the amount in the Designated Currency that the Holder receiving such payment may, in accordance with normal banking procedures, purchase with the sum paid in such other Currency (after any premium and cost of exchange) on the business day in the country of issue of the Designated Currency or in the international banking community (in the case of a composite currency) immediately following the day on which such Holder receives such payment; (c) if the amount in the Designated Currency that may be so purchased for any reason falls short of the amount originally due, the Company shall pay such additional amounts as may be necessary to compensate for such shortfall; and (d) any obligation of the Company not discharged by such payment shall be due as a separate and independent obligation and, until discharged as provided herein, shall continue in full force and effect.</w:t>
      </w:r>
    </w:p>
    <w:p>
      <w:pPr>
        <w:spacing w:after="0" w:line="200" w:lineRule="exact"/>
        <w:rPr>
          <w:sz w:val="20"/>
          <w:szCs w:val="20"/>
          <w:color w:val="auto"/>
        </w:rPr>
      </w:pPr>
    </w:p>
    <w:p>
      <w:pPr>
        <w:jc w:val="both"/>
        <w:ind w:firstLine="558"/>
        <w:spacing w:after="0" w:line="255"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CUSIP Numbers</w:t>
      </w:r>
      <w:r>
        <w:rPr>
          <w:rFonts w:ascii="Arial" w:cs="Arial" w:eastAsia="Arial" w:hAnsi="Arial"/>
          <w:sz w:val="18"/>
          <w:szCs w:val="18"/>
          <w:color w:val="auto"/>
        </w:rPr>
        <w:t>. The Company in issuing any Securities may use CUSIP, ISIN or other similar numbers, if then generally in use, and thereafter with respect to such series, the Trustee may use such numbers in any notice of redemption or exchange with respect to such series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in writing of any change in the CUSIP, ISIN or other similar numbers.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SECURITIES</w:t>
      </w:r>
    </w:p>
    <w:p>
      <w:pPr>
        <w:spacing w:after="0" w:line="256" w:lineRule="exact"/>
        <w:rPr>
          <w:sz w:val="20"/>
          <w:szCs w:val="20"/>
          <w:color w:val="auto"/>
        </w:rPr>
      </w:pPr>
    </w:p>
    <w:p>
      <w:pPr>
        <w:jc w:val="both"/>
        <w:ind w:firstLine="666"/>
        <w:spacing w:after="0" w:line="259"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Applicability of Right of Redemption</w:t>
      </w:r>
      <w:r>
        <w:rPr>
          <w:rFonts w:ascii="Arial" w:cs="Arial" w:eastAsia="Arial" w:hAnsi="Arial"/>
          <w:sz w:val="18"/>
          <w:szCs w:val="18"/>
          <w:color w:val="auto"/>
        </w:rPr>
        <w:t>. Redemption of Securities (other than pursuant to a sinking fund, amortization or analogous provision) permitted by the terms of any series of Securities shall be made (except as otherwise specified pursuant to Section 3.01 for Securities of any series) in accordance with this Article; provided, however, that if any such terms of a series of Securities shall conflict with any provision of this Article, the terms of such series shall govern.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5" w:name="page46"/>
    <w:bookmarkEnd w:id="45"/>
    <w:p>
      <w:pPr>
        <w:ind w:left="46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Selection of Securities to be Redeemed</w:t>
      </w:r>
      <w:r>
        <w:rPr>
          <w:rFonts w:ascii="Arial" w:cs="Arial" w:eastAsia="Arial" w:hAnsi="Arial"/>
          <w:sz w:val="18"/>
          <w:szCs w:val="18"/>
          <w:color w:val="auto"/>
        </w:rPr>
        <w:t>.</w:t>
      </w:r>
    </w:p>
    <w:p>
      <w:pPr>
        <w:spacing w:after="0" w:line="252" w:lineRule="exact"/>
        <w:rPr>
          <w:sz w:val="20"/>
          <w:szCs w:val="20"/>
          <w:color w:val="auto"/>
        </w:rPr>
      </w:pPr>
    </w:p>
    <w:p>
      <w:pPr>
        <w:jc w:val="both"/>
        <w:ind w:firstLine="478"/>
        <w:spacing w:after="0" w:line="271" w:lineRule="auto"/>
        <w:tabs>
          <w:tab w:leader="none" w:pos="717"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the Company shall at any time elect to redeem all or any portion of the Securities of a series then Outstanding, it shall at least 30 days prior to the Redemption Date fixed by the Company (unless a shorter period shall be satisfactory to the Trustee) notify the Trustee of such Redemption Date and of the principal amount of Securities to be redeemed, and thereupon the Trustee shall select, by lot or in such other manner as the Trustee shall deem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In any case where more than one Security of such series is registered in the same name, the Trustee may treat the aggregate principal amount so registered as if it were represented by one Security of such series. The Trustee shall, as soon as practicable, notify the Company in writing of the Securities and portions of Securities so selected.</w:t>
      </w:r>
    </w:p>
    <w:p>
      <w:pPr>
        <w:spacing w:after="0" w:line="205" w:lineRule="exact"/>
        <w:rPr>
          <w:rFonts w:ascii="Arial" w:cs="Arial" w:eastAsia="Arial" w:hAnsi="Arial"/>
          <w:sz w:val="17"/>
          <w:szCs w:val="17"/>
          <w:color w:val="auto"/>
        </w:rPr>
      </w:pPr>
    </w:p>
    <w:p>
      <w:pPr>
        <w:jc w:val="both"/>
        <w:ind w:firstLine="552"/>
        <w:spacing w:after="0" w:line="259" w:lineRule="auto"/>
        <w:tabs>
          <w:tab w:leader="none" w:pos="808" w:val="left"/>
        </w:tabs>
        <w:numPr>
          <w:ilvl w:val="1"/>
          <w:numId w:val="73"/>
        </w:numPr>
        <w:rPr>
          <w:rFonts w:ascii="Arial" w:cs="Arial" w:eastAsia="Arial" w:hAnsi="Arial"/>
          <w:sz w:val="18"/>
          <w:szCs w:val="18"/>
          <w:color w:val="auto"/>
        </w:rPr>
      </w:pPr>
      <w:r>
        <w:rPr>
          <w:rFonts w:ascii="Arial" w:cs="Arial" w:eastAsia="Arial" w:hAnsi="Arial"/>
          <w:sz w:val="18"/>
          <w:szCs w:val="18"/>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that has been or is to be redeemed. If the Company shall so direct, Securities registered in the name of the Company, any Affiliate or any Subsidiary thereof shall not be included in the Securities selected for redemption.</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252" w:lineRule="exact"/>
        <w:rPr>
          <w:sz w:val="20"/>
          <w:szCs w:val="20"/>
          <w:color w:val="auto"/>
        </w:rPr>
      </w:pPr>
    </w:p>
    <w:p>
      <w:pPr>
        <w:jc w:val="both"/>
        <w:ind w:firstLine="502"/>
        <w:spacing w:after="0" w:line="291" w:lineRule="auto"/>
        <w:tabs>
          <w:tab w:leader="none" w:pos="743" w:val="left"/>
        </w:tabs>
        <w:numPr>
          <w:ilvl w:val="1"/>
          <w:numId w:val="74"/>
        </w:numPr>
        <w:rPr>
          <w:rFonts w:ascii="Arial" w:cs="Arial" w:eastAsia="Arial" w:hAnsi="Arial"/>
          <w:sz w:val="16"/>
          <w:szCs w:val="16"/>
          <w:color w:val="auto"/>
        </w:rPr>
      </w:pPr>
      <w:r>
        <w:rPr>
          <w:rFonts w:ascii="Arial" w:cs="Arial" w:eastAsia="Arial" w:hAnsi="Arial"/>
          <w:sz w:val="16"/>
          <w:szCs w:val="16"/>
          <w:color w:val="auto"/>
        </w:rPr>
        <w:t>Notice of redemption shall be given by the Company or, at the Company’s request, by the Trustee in the name and at the expense of the Company; provided, however, that the Company makes such request at least 3 days prior to the date by which such notice of redemption must be given to Holders in accordance with this Section 4.03; provided further that, the text of such notice shall be prepared by the Company, not less than 60 days before the Redemption Date unless the Trustee consents to a shorter period, to the Holders of Securities of any series to be redeemed in whole or in part pursuant to this Article, in the manner provided in Section 15.04. Any notice so given shall be conclusively presumed to have been duly given, whether or not the Holder receives such notice. Failure to give such notice, or any defect in such notice to the Holder of any Security of a series designated for redemption, in whole or in part, shall not affect the sufficiency of any notice of redemption with respect to the Holder of any other Security of such series.</w:t>
      </w:r>
    </w:p>
    <w:p>
      <w:pPr>
        <w:spacing w:after="0" w:line="194" w:lineRule="exact"/>
        <w:rPr>
          <w:rFonts w:ascii="Arial" w:cs="Arial" w:eastAsia="Arial" w:hAnsi="Arial"/>
          <w:sz w:val="16"/>
          <w:szCs w:val="16"/>
          <w:color w:val="auto"/>
        </w:rPr>
      </w:pPr>
    </w:p>
    <w:p>
      <w:pPr>
        <w:ind w:left="700" w:hanging="242"/>
        <w:spacing w:after="0"/>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All notices of redemption shall identify the Securities to be redeemed (including CUSIP, ISIN or other similar numbers, if available) and shall state:</w:t>
      </w:r>
    </w:p>
    <w:p>
      <w:pPr>
        <w:spacing w:after="0" w:line="275" w:lineRule="exact"/>
        <w:rPr>
          <w:rFonts w:ascii="Arial" w:cs="Arial" w:eastAsia="Arial" w:hAnsi="Arial"/>
          <w:sz w:val="16"/>
          <w:szCs w:val="16"/>
          <w:color w:val="auto"/>
        </w:rPr>
      </w:pPr>
    </w:p>
    <w:p>
      <w:pPr>
        <w:ind w:firstLine="1184"/>
        <w:spacing w:after="0" w:line="277" w:lineRule="auto"/>
        <w:tabs>
          <w:tab w:leader="none" w:pos="1405" w:val="left"/>
        </w:tabs>
        <w:numPr>
          <w:ilvl w:val="4"/>
          <w:numId w:val="75"/>
        </w:numPr>
        <w:rPr>
          <w:rFonts w:ascii="Arial" w:cs="Arial" w:eastAsia="Arial" w:hAnsi="Arial"/>
          <w:sz w:val="18"/>
          <w:szCs w:val="18"/>
          <w:color w:val="auto"/>
        </w:rPr>
      </w:pPr>
      <w:r>
        <w:rPr>
          <w:rFonts w:ascii="Arial" w:cs="Arial" w:eastAsia="Arial" w:hAnsi="Arial"/>
          <w:sz w:val="18"/>
          <w:szCs w:val="18"/>
          <w:color w:val="auto"/>
        </w:rPr>
        <w:t>such election by the Company to redeem Securities of such series pursuant to provisions contained in this Indenture or the terms of the Securities of such series or a supplemental indenture establishing such series, if such be the case;</w:t>
      </w:r>
    </w:p>
    <w:p>
      <w:pPr>
        <w:spacing w:after="0" w:line="197" w:lineRule="exact"/>
        <w:rPr>
          <w:rFonts w:ascii="Arial" w:cs="Arial" w:eastAsia="Arial" w:hAnsi="Arial"/>
          <w:sz w:val="18"/>
          <w:szCs w:val="18"/>
          <w:color w:val="auto"/>
        </w:rPr>
      </w:pPr>
    </w:p>
    <w:p>
      <w:pPr>
        <w:ind w:left="1180" w:hanging="272"/>
        <w:spacing w:after="0"/>
        <w:tabs>
          <w:tab w:leader="none" w:pos="1180" w:val="left"/>
        </w:tabs>
        <w:numPr>
          <w:ilvl w:val="2"/>
          <w:numId w:val="75"/>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52" w:lineRule="exact"/>
        <w:rPr>
          <w:rFonts w:ascii="Arial" w:cs="Arial" w:eastAsia="Arial" w:hAnsi="Arial"/>
          <w:sz w:val="18"/>
          <w:szCs w:val="18"/>
          <w:color w:val="auto"/>
        </w:rPr>
      </w:pPr>
    </w:p>
    <w:p>
      <w:pPr>
        <w:ind w:left="1220" w:hanging="312"/>
        <w:spacing w:after="0"/>
        <w:tabs>
          <w:tab w:leader="none" w:pos="1220" w:val="left"/>
        </w:tabs>
        <w:numPr>
          <w:ilvl w:val="2"/>
          <w:numId w:val="75"/>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52" w:lineRule="exact"/>
        <w:rPr>
          <w:rFonts w:ascii="Arial" w:cs="Arial" w:eastAsia="Arial" w:hAnsi="Arial"/>
          <w:sz w:val="18"/>
          <w:szCs w:val="18"/>
          <w:color w:val="auto"/>
        </w:rPr>
      </w:pPr>
    </w:p>
    <w:p>
      <w:pPr>
        <w:ind w:firstLine="939"/>
        <w:spacing w:after="0" w:line="277" w:lineRule="auto"/>
        <w:tabs>
          <w:tab w:leader="none" w:pos="1237" w:val="left"/>
        </w:tabs>
        <w:numPr>
          <w:ilvl w:val="3"/>
          <w:numId w:val="75"/>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principal amounts) of the Securities of such series to be redeemed;</w:t>
      </w:r>
    </w:p>
    <w:p>
      <w:pPr>
        <w:spacing w:after="0" w:line="197" w:lineRule="exact"/>
        <w:rPr>
          <w:rFonts w:ascii="Arial" w:cs="Arial" w:eastAsia="Arial" w:hAnsi="Arial"/>
          <w:sz w:val="18"/>
          <w:szCs w:val="18"/>
          <w:color w:val="auto"/>
        </w:rPr>
      </w:pPr>
    </w:p>
    <w:p>
      <w:pPr>
        <w:ind w:firstLine="1178"/>
        <w:spacing w:after="0" w:line="277" w:lineRule="auto"/>
        <w:tabs>
          <w:tab w:leader="none" w:pos="1439" w:val="left"/>
        </w:tabs>
        <w:numPr>
          <w:ilvl w:val="4"/>
          <w:numId w:val="76"/>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that, if applicable, interest thereon shall cease to accrue on and after said date;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6" w:name="page47"/>
    <w:bookmarkEnd w:id="46"/>
    <w:p>
      <w:pPr>
        <w:ind w:left="1220" w:hanging="312"/>
        <w:spacing w:after="0"/>
        <w:tabs>
          <w:tab w:leader="none" w:pos="12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Place or Places of Payment where such Securities are to be surrendered for payment of the Redemption Price;</w:t>
      </w:r>
    </w:p>
    <w:p>
      <w:pPr>
        <w:spacing w:after="0" w:line="252" w:lineRule="exact"/>
        <w:rPr>
          <w:rFonts w:ascii="Arial" w:cs="Arial" w:eastAsia="Arial" w:hAnsi="Arial"/>
          <w:sz w:val="18"/>
          <w:szCs w:val="18"/>
          <w:color w:val="auto"/>
        </w:rPr>
      </w:pPr>
    </w:p>
    <w:p>
      <w:pPr>
        <w:ind w:left="1260" w:hanging="352"/>
        <w:spacing w:after="0"/>
        <w:tabs>
          <w:tab w:leader="none" w:pos="1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 and</w:t>
      </w:r>
    </w:p>
    <w:p>
      <w:pPr>
        <w:spacing w:after="0" w:line="252" w:lineRule="exact"/>
        <w:rPr>
          <w:rFonts w:ascii="Arial" w:cs="Arial" w:eastAsia="Arial" w:hAnsi="Arial"/>
          <w:sz w:val="18"/>
          <w:szCs w:val="18"/>
          <w:color w:val="auto"/>
        </w:rPr>
      </w:pPr>
    </w:p>
    <w:p>
      <w:pPr>
        <w:ind w:left="1320" w:hanging="412"/>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that the Securities must be surrendered to the Paying Agent for payment of the Redemption Price.</w:t>
      </w:r>
    </w:p>
    <w:p>
      <w:pPr>
        <w:spacing w:after="0" w:line="252"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 On or prior to 11:00 a.m., Eastern time, on the Redemption Date for any Securities, the Company shall deposit with the Trustee or with a Paying Agent (or, if the Company is acting as its own Paying Agent, segregate and hold in trust as provided in Section 6.03) an amount of money in the Currency in which such Securities are denominated (except as provided pursuant to Section 3.01) sufficient to pay the Redemption Price of such Securities or any portions thereof that are to be redeemed on that date.</w:t>
      </w:r>
    </w:p>
    <w:p>
      <w:pPr>
        <w:spacing w:after="0" w:line="214" w:lineRule="exact"/>
        <w:rPr>
          <w:sz w:val="20"/>
          <w:szCs w:val="20"/>
          <w:color w:val="auto"/>
        </w:rPr>
      </w:pPr>
    </w:p>
    <w:p>
      <w:pPr>
        <w:jc w:val="both"/>
        <w:ind w:firstLine="491"/>
        <w:spacing w:after="0" w:line="255"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Securities Payable on Redemption Date</w:t>
      </w:r>
      <w:r>
        <w:rPr>
          <w:rFonts w:ascii="Arial" w:cs="Arial" w:eastAsia="Arial" w:hAnsi="Arial"/>
          <w:sz w:val="18"/>
          <w:szCs w:val="18"/>
          <w:color w:val="auto"/>
        </w:rPr>
        <w:t>. Notice of redemption having been given as aforesaid, any Securities so to be redeemed shall, on the Redemption Date, become due and payable at the Redemption Price and from and after such date (unless the Company shall Default in the payment of the Redemption Price) such Securities shall cease to bear interest. Upon surrender of any such Security for redemption in accordance with said notice, such Security shall be paid by the Company at the Redemption Price; provided, however, that (unless otherwise provided pursuant to Section 3.01) installments of interest that have a Stated Maturity on or prior to the Redemption Date for such Securities shall be payable according to the terms of such Securities and the provisions of Section 3.08.</w:t>
      </w:r>
    </w:p>
    <w:p>
      <w:pPr>
        <w:spacing w:after="0" w:line="220" w:lineRule="exact"/>
        <w:rPr>
          <w:sz w:val="20"/>
          <w:szCs w:val="20"/>
          <w:color w:val="auto"/>
        </w:rPr>
      </w:pPr>
    </w:p>
    <w:p>
      <w:pPr>
        <w:jc w:val="both"/>
        <w:ind w:firstLine="565"/>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thereof and premium, if any, thereon shall, until paid, bear interest from the Redemption Date at the rate prescribed therefor in the Security.</w:t>
      </w:r>
    </w:p>
    <w:p>
      <w:pPr>
        <w:spacing w:after="0" w:line="197"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Securities Redeemed in Part</w:t>
      </w:r>
      <w:r>
        <w:rPr>
          <w:rFonts w:ascii="Arial" w:cs="Arial" w:eastAsia="Arial" w:hAnsi="Arial"/>
          <w:sz w:val="16"/>
          <w:szCs w:val="16"/>
          <w:color w:val="auto"/>
        </w:rPr>
        <w:t>. Any Security that is to be redeemed only in part shall be surrendered at the Corporate Trust Office or such other office or agency of the Company as is specified pursuant to Section 3.01 with, if the Company, the Registrar or the Trustee so requires, due endorsement by, or a written instrument of transfer in form satisfactory to the Company, the Registrar and the Trustee duly executed by the Holder thereof or his, her or its attorney duly authorized in writing, and the Company shall execute, and the Trustee shall authenticate and deliver to the Holder of such Security without service charge, a new Security or Securities of the same series, of like tenor and form, of any authorized denomination as requested by such Holder in aggregate principal amount equal to and in exchange for the unredeemed portion of the principal of the Security so surrendered; except that if a Global Security is so surrendered, the Company shall execute, and the Trustee shall authenticate and deliver to the Depositary for such Global Security, without service charge, a new Global Security in a denomination equal to and in exchange for the unredeemed portion of the principal of the Global Security so surrendered. In the case of a Security providing appropriate space for such notation, at the option of the Holder thereof, the Trustee, in lieu of delivering a new Security or Securities as aforesaid, may make a notation on such Security of the payment of the redeemed portion thereof.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SINKING FUNDS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Applicability of Sinking Fund</w:t>
      </w:r>
      <w:r>
        <w:rPr>
          <w:rFonts w:ascii="Arial" w:cs="Arial" w:eastAsia="Arial" w:hAnsi="Arial"/>
          <w:sz w:val="18"/>
          <w:szCs w:val="18"/>
          <w:color w:val="auto"/>
        </w:rPr>
        <w:t>.</w:t>
      </w:r>
    </w:p>
    <w:p>
      <w:pPr>
        <w:spacing w:after="0" w:line="225" w:lineRule="exact"/>
        <w:rPr>
          <w:sz w:val="20"/>
          <w:szCs w:val="20"/>
          <w:color w:val="auto"/>
        </w:rPr>
      </w:pPr>
    </w:p>
    <w:p>
      <w:pPr>
        <w:jc w:val="both"/>
        <w:ind w:left="460" w:firstLine="568"/>
        <w:spacing w:after="0" w:line="259" w:lineRule="auto"/>
        <w:tabs>
          <w:tab w:leader="none" w:pos="1276"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Redemption of Securities permitted or required pursuant to a sinking fund for the retirement of Securities of a series by the terms of such series of Securities shall be made in accordance with such terms of such series of Securities and this Article, except as otherwise specified pursuant to Section 3.01 for Securities of such series, provided, however, that if any such terms of a series of Securities shall conflict with any provision of this Article, the terms of such series shall govern.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7" w:name="page48"/>
    <w:bookmarkEnd w:id="47"/>
    <w:p>
      <w:pPr>
        <w:jc w:val="both"/>
        <w:ind w:left="460" w:firstLine="469"/>
        <w:spacing w:after="0" w:line="259" w:lineRule="auto"/>
        <w:tabs>
          <w:tab w:leader="none" w:pos="117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Mandatory Sinking Fund Payment may be subject to reduction as provided in Section 5.02.</w:t>
      </w:r>
    </w:p>
    <w:p>
      <w:pPr>
        <w:spacing w:after="0" w:line="214" w:lineRule="exact"/>
        <w:rPr>
          <w:sz w:val="20"/>
          <w:szCs w:val="20"/>
          <w:color w:val="auto"/>
        </w:rPr>
      </w:pPr>
    </w:p>
    <w:p>
      <w:pPr>
        <w:jc w:val="both"/>
        <w:ind w:firstLine="477"/>
        <w:spacing w:after="0" w:line="287"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Mandatory Sinking Fund Obligation</w:t>
      </w:r>
      <w:r>
        <w:rPr>
          <w:rFonts w:ascii="Arial" w:cs="Arial" w:eastAsia="Arial" w:hAnsi="Arial"/>
          <w:sz w:val="16"/>
          <w:szCs w:val="16"/>
          <w:color w:val="auto"/>
        </w:rPr>
        <w:t>. The Company may, at its option, satisfy any Mandatory Sinking Fund Payment obligation, in whole or in part, with respect to a particular series of Securities by (a) delivering to the Trustee Securities of such series in transferable form theretofore purchased or otherwise acquired by the Company or redeemed at the election of the Company pursuant to Section 4.03 or (b) receiving credit for Securities of such series (not previously so credited) acquired by the Company and theretofore delivered to the Trustee. The Trustee shall credit such Mandatory Sinking Fund Payment obligation with an amount equal to the Redemption Price specified in such Securities for redemption through operation of the sinking fund and the amount of such Mandatory Sinking Fund Payment shall be reduced accordingly. If the Company shall elect to so satisfy any Mandatory Sinking Fund Payment obligation, it shall deliver to the Trustee not less than 45 days prior to the relevant sinking fund payment date a written notice signed on behalf of the Company by its Chairman of the Board of Directors, Chief Executive Officer, President, Chief Operating Officer, Chief Financial Officer, one of its Vice Presidents, its Treasurer or one of its Assistant Treasurers, which shall designate the Securities (and portions thereof, if any) so delivered or credited and which shall be accompanied by such Securities (to the extent not theretofore delivered) in transferable form. In case of the failure of the Company, at or before the time so required, to give such notice and deliver such Securities the Mandatory Sinking Fund Payment obligation shall be paid entirely in moneys.</w:t>
      </w:r>
    </w:p>
    <w:p>
      <w:pPr>
        <w:spacing w:after="0" w:line="200" w:lineRule="exact"/>
        <w:rPr>
          <w:sz w:val="20"/>
          <w:szCs w:val="20"/>
          <w:color w:val="auto"/>
        </w:rPr>
      </w:pPr>
    </w:p>
    <w:p>
      <w:pPr>
        <w:jc w:val="both"/>
        <w:ind w:firstLine="450"/>
        <w:spacing w:after="0" w:line="289"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Optional Redemption at Sinking Fund Redemption Price</w:t>
      </w:r>
      <w:r>
        <w:rPr>
          <w:rFonts w:ascii="Arial" w:cs="Arial" w:eastAsia="Arial" w:hAnsi="Arial"/>
          <w:sz w:val="16"/>
          <w:szCs w:val="16"/>
          <w:color w:val="auto"/>
        </w:rPr>
        <w:t>. In addition to the sinking fund requirements of Section 5.02, to the extent, if any, provided for by the terms of a particular series of Securities, the Company may, at its option, make an Optional Sinking Fund Payment with respect to such Securities. Unless otherwise provided by such terms, (a) to the extent that the right of the Company to make such Optional Sinking Fund Payment shall not be exercised in any year, it shall not be cumulative or carried forward to any subsequent year, and (b) such optional payment shall operate to reduce the amount of any Mandatory Sinking Fund Payment obligation as to Securities of the same series. If the Company intends to exercise its right to make such optional payment in any year it shall deliver to the Trustee not less than 45 days prior to the relevant sinking fund payment date a certificate signed by its Chairman of the Board of Directors, Chief Executive Officer, President, Chief Operating Officer, Chief Financial Officer, one of its Vice Presidents, Treasurer or one of its Assistant Treasurers stating that the Company will exercise such optional right, and specifying the amount which the Company will pay on or before the next succeeding sinking fund payment date. Such certificate shall also state that no Event of Default has occurred and is continuing.</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Application of Sinking Fund Payment</w:t>
      </w:r>
      <w:r>
        <w:rPr>
          <w:rFonts w:ascii="Arial" w:cs="Arial" w:eastAsia="Arial" w:hAnsi="Arial"/>
          <w:sz w:val="18"/>
          <w:szCs w:val="18"/>
          <w:color w:val="auto"/>
        </w:rPr>
        <w:t>.</w:t>
      </w:r>
    </w:p>
    <w:p>
      <w:pPr>
        <w:spacing w:after="0" w:line="225" w:lineRule="exact"/>
        <w:rPr>
          <w:sz w:val="20"/>
          <w:szCs w:val="20"/>
          <w:color w:val="auto"/>
        </w:rPr>
      </w:pPr>
    </w:p>
    <w:p>
      <w:pPr>
        <w:jc w:val="both"/>
        <w:ind w:left="460" w:firstLine="482"/>
        <w:spacing w:after="0" w:line="268" w:lineRule="auto"/>
        <w:tabs>
          <w:tab w:leader="none" w:pos="1182" w:val="left"/>
        </w:tabs>
        <w:numPr>
          <w:ilvl w:val="0"/>
          <w:numId w:val="80"/>
        </w:numPr>
        <w:rPr>
          <w:rFonts w:ascii="Arial" w:cs="Arial" w:eastAsia="Arial" w:hAnsi="Arial"/>
          <w:sz w:val="17"/>
          <w:szCs w:val="17"/>
          <w:color w:val="auto"/>
        </w:rPr>
      </w:pPr>
      <w:r>
        <w:rPr>
          <w:rFonts w:ascii="Arial" w:cs="Arial" w:eastAsia="Arial" w:hAnsi="Arial"/>
          <w:sz w:val="17"/>
          <w:szCs w:val="17"/>
          <w:color w:val="auto"/>
        </w:rPr>
        <w:t>If the sinking fund payment or payments made in funds pursuant to either Section 5.02 or 5.03 with respect to a particular series of Securities plus any unused balance of any preceding sinking fund payments made in funds with respect to such series shall exceed $50,000 (or a lesser sum if the Company shall so request, or such equivalent sum for Securities denominated other than in U.S. Dollars), it shall be applied by the Trustee on the sinking fund payment date next following the date of such payment, unless the date of such payment shall be a sinking fund payment date, in which case such payment shall be applied on such sinking fund payment date, to the redemption of Securities of such series at the redemption price specified pursuant to Section 4.03(b). The Trustee shall select, in the manner provided in Section 4.02, for redemption on such sinking fund payment date, a sufficient principal amount of Securities of such series to absorb said funds, as nearly as may be, and shall, at the expense and in the name of the Company, thereupon cause notice of redemption of the Securities to be given in substantially the manner provided in Section 4.03(a) for the redemption of Securities in part at the option of the Company, except that the notice of redemption shall also state that the Securities are being redeemed for the sinking fund. Any sinking fund moneys not so applied by the Trustee to the redemption of Securities of such series shall be added to the next sinking fund payment received in funds by the Trustee and, together with such payment, shall be applied in accordance with the provisions of this Section 5.04. Any and all sinking fund moneys held by the Trustee on the last sinking fund payment date with respect to Securities of such series, and not held for the payment or redemption of particular Securities of such series, shall be applied by the Trustee to the payment of the principal of the Securities of such series at Maturity.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 w:name="page49"/>
    <w:bookmarkEnd w:id="48"/>
    <w:p>
      <w:pPr>
        <w:ind w:left="460" w:firstLine="506"/>
        <w:spacing w:after="0" w:line="308" w:lineRule="auto"/>
        <w:tabs>
          <w:tab w:leader="none" w:pos="1219" w:val="left"/>
        </w:tabs>
        <w:numPr>
          <w:ilvl w:val="1"/>
          <w:numId w:val="81"/>
        </w:numPr>
        <w:rPr>
          <w:rFonts w:ascii="Arial" w:cs="Arial" w:eastAsia="Arial" w:hAnsi="Arial"/>
          <w:sz w:val="17"/>
          <w:szCs w:val="17"/>
          <w:color w:val="auto"/>
        </w:rPr>
      </w:pPr>
      <w:r>
        <w:rPr>
          <w:rFonts w:ascii="Arial" w:cs="Arial" w:eastAsia="Arial" w:hAnsi="Arial"/>
          <w:sz w:val="17"/>
          <w:szCs w:val="17"/>
          <w:color w:val="auto"/>
        </w:rPr>
        <w:t>On or prior to each sinking fund payment date, the Company shall pay to the Trustee a sum equal to all interest accrued to but not including the date fixed for redemption on Securities to be redeemed on such sinking fund payment date pursuant to this Section 5.04.</w:t>
      </w:r>
    </w:p>
    <w:p>
      <w:pPr>
        <w:spacing w:after="0" w:line="146" w:lineRule="exact"/>
        <w:rPr>
          <w:rFonts w:ascii="Arial" w:cs="Arial" w:eastAsia="Arial" w:hAnsi="Arial"/>
          <w:sz w:val="17"/>
          <w:szCs w:val="17"/>
          <w:color w:val="auto"/>
        </w:rPr>
      </w:pPr>
    </w:p>
    <w:p>
      <w:pPr>
        <w:jc w:val="both"/>
        <w:ind w:left="460" w:firstLine="457"/>
        <w:spacing w:after="0" w:line="289" w:lineRule="auto"/>
        <w:tabs>
          <w:tab w:leader="none" w:pos="1155"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Trustee shall not redeem any Securities of a series with sinking fund moneys or mail any notice of redemption of Securities of such series by operation of the sinking fund during the continuance of a Default in payment of interest on any Securities of such series or of any Event of Default (other than an Event of Default occurring as a consequence of this paragraph) of which the Trustee has actual knowledge, except that if the notice of redemption of any Securities of such series shall theretofore have been mailed in accordance with the provisions hereof, the Trustee shall redeem such Securities if funds sufficient for that purpose shall be deposited with the Trustee in accordance with the terms of this Article. Except as aforesaid, any moneys in the sinking fund at the time any such Default or Event of Default shall occur and any moneys thereafter paid into the sinking fund shall, during the continuance of such Default or Event of Default, be held as security for the payment of all the Securities of such series; provided, however, that in case such Default or Event of Default shall have been cured or waived as provided herein, such moneys shall thereafter be applied on the next sinking fund payment date on which such moneys are required to be applied pursuant to the provisions of this Section 5.04.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52"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PARTICULAR COVENANTS OF THE COMPANY</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hereby covenants and agrees as follows:</w:t>
      </w:r>
    </w:p>
    <w:p>
      <w:pPr>
        <w:spacing w:after="0" w:line="252" w:lineRule="exact"/>
        <w:rPr>
          <w:sz w:val="20"/>
          <w:szCs w:val="20"/>
          <w:color w:val="auto"/>
        </w:rPr>
      </w:pPr>
    </w:p>
    <w:p>
      <w:pPr>
        <w:ind w:right="120" w:firstLine="450"/>
        <w:spacing w:after="0" w:line="342"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Payments of Securities</w:t>
      </w:r>
      <w:r>
        <w:rPr>
          <w:rFonts w:ascii="Arial" w:cs="Arial" w:eastAsia="Arial" w:hAnsi="Arial"/>
          <w:sz w:val="16"/>
          <w:szCs w:val="16"/>
          <w:color w:val="auto"/>
        </w:rPr>
        <w:t>. The Company will duly and punctually pay the principal of and premium, if any, on each series of Securities, and the interest which shall have accrued thereon, at the dates and place and in the manner provided in the Securities and in this Indenture.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Paying Agent</w:t>
      </w:r>
      <w:r>
        <w:rPr>
          <w:rFonts w:ascii="Arial" w:cs="Arial" w:eastAsia="Arial" w:hAnsi="Arial"/>
          <w:sz w:val="18"/>
          <w:szCs w:val="18"/>
          <w:color w:val="auto"/>
        </w:rPr>
        <w:t>.</w:t>
      </w:r>
    </w:p>
    <w:p>
      <w:pPr>
        <w:spacing w:after="0" w:line="252" w:lineRule="exact"/>
        <w:rPr>
          <w:sz w:val="20"/>
          <w:szCs w:val="20"/>
          <w:color w:val="auto"/>
        </w:rPr>
      </w:pPr>
    </w:p>
    <w:p>
      <w:pPr>
        <w:jc w:val="both"/>
        <w:ind w:firstLine="503"/>
        <w:spacing w:after="0" w:line="255" w:lineRule="auto"/>
        <w:tabs>
          <w:tab w:leader="none" w:pos="741"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will maintain in each Place of Payment for any series of Securities, if any, an office or agency where Securities may be presented or surrendered for payment, where Securities of such series may be surrendered for registration of transfer or exchange and where notices and demands to or upon the Company in respect of the Securities and this Indenture may be served (the “Paying Agent”).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Paying Agent to receive all presentations, surrenders, notices and demands.</w:t>
      </w:r>
    </w:p>
    <w:p>
      <w:pPr>
        <w:spacing w:after="0" w:line="216" w:lineRule="exact"/>
        <w:rPr>
          <w:rFonts w:ascii="Arial" w:cs="Arial" w:eastAsia="Arial" w:hAnsi="Arial"/>
          <w:sz w:val="18"/>
          <w:szCs w:val="18"/>
          <w:color w:val="auto"/>
        </w:rPr>
      </w:pPr>
    </w:p>
    <w:p>
      <w:pPr>
        <w:jc w:val="both"/>
        <w:ind w:firstLine="510"/>
        <w:spacing w:after="0" w:line="272" w:lineRule="auto"/>
        <w:tabs>
          <w:tab w:leader="none" w:pos="758"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Company may also from time to time designate different or additional offices or agencies where the Securities of any series may be presented or surrendered for any or all such purposes (in or outside of such Place of Payment), and may from time to time rescind any such designations; provided, however, that no such designation or rescission shall in any manner relieve the Company of its obligations described in the preceding paragraph. The Company will give prompt written notice to the Trustee of any such additional designation or rescission of designation and of any change in the location of any such different or additional office or agency. The Company shall enter into an appropriate agency agreement with any Paying Agent not a party to this Indenture. The agreement shall implement the provisions of this Indenture that relate to such agent. The Company shall notify the Trustee of the name and address of each such agent. The Company or any Affiliate thereof may act as Paying Agent.</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To Hold Payment in Trust</w:t>
      </w:r>
      <w:r>
        <w:rPr>
          <w:rFonts w:ascii="Arial" w:cs="Arial" w:eastAsia="Arial" w:hAnsi="Arial"/>
          <w:sz w:val="18"/>
          <w:szCs w:val="18"/>
          <w:color w:val="auto"/>
        </w:rPr>
        <w:t>.</w:t>
      </w:r>
    </w:p>
    <w:p>
      <w:pPr>
        <w:spacing w:after="0" w:line="252" w:lineRule="exact"/>
        <w:rPr>
          <w:sz w:val="20"/>
          <w:szCs w:val="20"/>
          <w:color w:val="auto"/>
        </w:rPr>
      </w:pPr>
    </w:p>
    <w:p>
      <w:pPr>
        <w:jc w:val="both"/>
        <w:ind w:firstLine="520"/>
        <w:spacing w:after="0" w:line="255" w:lineRule="auto"/>
        <w:tabs>
          <w:tab w:leader="none" w:pos="763"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the Company or an Affiliate thereof shall at any time act as Paying Agent with respect to any series of Securities, then, on or before the date on which the principal of and premium, if any, or interest on any of the Securities of that series by their terms or as a result of the calling thereof for redemption shall become payable, the Company or such Affiliate will segregate and hold in trust for the benefit of the Holders of such Securities or the Trustee a sum sufficient to pay such principal and premium, if any, or interest which shall have so become payable until such sums shall be paid to such Holders or otherwise disposed of as herein provided, and will notify the Trustee of its action or failure to act in that regard. Upon any proceeding under any federal bankruptcy laws with respect to the Company or any Affiliate thereof, if the Company or such Affiliate is then acting as Paying Agent, the Trustee shall replace the Company or such Affiliate as Paying Agent.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9" w:name="page50"/>
    <w:bookmarkEnd w:id="49"/>
    <w:p>
      <w:pPr>
        <w:jc w:val="both"/>
        <w:ind w:firstLine="468"/>
        <w:spacing w:after="0" w:line="255" w:lineRule="auto"/>
        <w:tabs>
          <w:tab w:leader="none" w:pos="716" w:val="left"/>
        </w:tabs>
        <w:numPr>
          <w:ilvl w:val="1"/>
          <w:numId w:val="85"/>
        </w:numPr>
        <w:rPr>
          <w:rFonts w:ascii="Arial" w:cs="Arial" w:eastAsia="Arial" w:hAnsi="Arial"/>
          <w:sz w:val="18"/>
          <w:szCs w:val="18"/>
          <w:color w:val="auto"/>
        </w:rPr>
      </w:pPr>
      <w:r>
        <w:rPr>
          <w:rFonts w:ascii="Arial" w:cs="Arial" w:eastAsia="Arial" w:hAnsi="Arial"/>
          <w:sz w:val="18"/>
          <w:szCs w:val="18"/>
          <w:color w:val="auto"/>
        </w:rPr>
        <w:t>If the Company shall appoint, and at the time have, a Paying Agent for the payment of the principal of and premium, if any, or interest on any series of Securities, then prior to 11:00 a.m., New York City time, on the date on which the principal of and premium, if any, or interest on any of the Securities of that series shall become payable as aforesaid, whether by their terms or as a result of the calling thereof for redemption, the Company will deposit with such Paying Agent a sum sufficient to pay such principal and premium, if any, or interest, such sum to be held in trust for the benefit of the Holders of such Securities or the Trustee, and (unless such Paying Agent is the Trustee), the Company or any other obligor of such Securities will promptly notify the Trustee of its payment or failure to make such payment.</w:t>
      </w:r>
    </w:p>
    <w:p>
      <w:pPr>
        <w:spacing w:after="0" w:line="220" w:lineRule="exact"/>
        <w:rPr>
          <w:rFonts w:ascii="Arial" w:cs="Arial" w:eastAsia="Arial" w:hAnsi="Arial"/>
          <w:sz w:val="18"/>
          <w:szCs w:val="18"/>
          <w:color w:val="auto"/>
        </w:rPr>
      </w:pPr>
    </w:p>
    <w:p>
      <w:pPr>
        <w:ind w:right="20" w:firstLine="503"/>
        <w:spacing w:after="0" w:line="308" w:lineRule="auto"/>
        <w:tabs>
          <w:tab w:leader="none" w:pos="744" w:val="left"/>
        </w:tabs>
        <w:numPr>
          <w:ilvl w:val="2"/>
          <w:numId w:val="85"/>
        </w:numPr>
        <w:rPr>
          <w:rFonts w:ascii="Arial" w:cs="Arial" w:eastAsia="Arial" w:hAnsi="Arial"/>
          <w:sz w:val="17"/>
          <w:szCs w:val="17"/>
          <w:color w:val="auto"/>
        </w:rPr>
      </w:pPr>
      <w:r>
        <w:rPr>
          <w:rFonts w:ascii="Arial" w:cs="Arial" w:eastAsia="Arial" w:hAnsi="Arial"/>
          <w:sz w:val="17"/>
          <w:szCs w:val="17"/>
          <w:color w:val="auto"/>
        </w:rPr>
        <w:t>If the Paying Agent shall be other than the Trustee, the Company will cause such Paying Agent to execute and deliver to the Trustee an instrument in which such Paying Agent shall agree with the Trustee, subject to the provisions of this Section 6.03, that such Paying Agent shall:</w:t>
      </w:r>
    </w:p>
    <w:p>
      <w:pPr>
        <w:spacing w:after="0" w:line="173" w:lineRule="exact"/>
        <w:rPr>
          <w:rFonts w:ascii="Arial" w:cs="Arial" w:eastAsia="Arial" w:hAnsi="Arial"/>
          <w:sz w:val="17"/>
          <w:szCs w:val="17"/>
          <w:color w:val="auto"/>
        </w:rPr>
      </w:pPr>
    </w:p>
    <w:p>
      <w:pPr>
        <w:ind w:firstLine="1035"/>
        <w:spacing w:after="0" w:line="277" w:lineRule="auto"/>
        <w:tabs>
          <w:tab w:leader="none" w:pos="1248" w:val="left"/>
        </w:tabs>
        <w:numPr>
          <w:ilvl w:val="4"/>
          <w:numId w:val="85"/>
        </w:numPr>
        <w:rPr>
          <w:rFonts w:ascii="Arial" w:cs="Arial" w:eastAsia="Arial" w:hAnsi="Arial"/>
          <w:sz w:val="18"/>
          <w:szCs w:val="18"/>
          <w:color w:val="auto"/>
        </w:rPr>
      </w:pPr>
      <w:r>
        <w:rPr>
          <w:rFonts w:ascii="Arial" w:cs="Arial" w:eastAsia="Arial" w:hAnsi="Arial"/>
          <w:sz w:val="18"/>
          <w:szCs w:val="18"/>
          <w:color w:val="auto"/>
        </w:rPr>
        <w:t>hold all moneys held by it for the payment of the principal of and premium, if any, or interest on the Securities of that series in trust for the benefit of the Holders of such Securities until such sums shall be paid to such Holders or otherwise disposed of as herein provided;</w:t>
      </w:r>
    </w:p>
    <w:p>
      <w:pPr>
        <w:spacing w:after="0" w:line="197" w:lineRule="exact"/>
        <w:rPr>
          <w:rFonts w:ascii="Arial" w:cs="Arial" w:eastAsia="Arial" w:hAnsi="Arial"/>
          <w:sz w:val="18"/>
          <w:szCs w:val="18"/>
          <w:color w:val="auto"/>
        </w:rPr>
      </w:pPr>
    </w:p>
    <w:p>
      <w:pPr>
        <w:ind w:firstLine="920"/>
        <w:spacing w:after="0" w:line="277" w:lineRule="auto"/>
        <w:tabs>
          <w:tab w:leader="none" w:pos="1177" w:val="left"/>
        </w:tabs>
        <w:numPr>
          <w:ilvl w:val="3"/>
          <w:numId w:val="85"/>
        </w:numPr>
        <w:rPr>
          <w:rFonts w:ascii="Arial" w:cs="Arial" w:eastAsia="Arial" w:hAnsi="Arial"/>
          <w:sz w:val="18"/>
          <w:szCs w:val="18"/>
          <w:color w:val="auto"/>
        </w:rPr>
      </w:pPr>
      <w:r>
        <w:rPr>
          <w:rFonts w:ascii="Arial" w:cs="Arial" w:eastAsia="Arial" w:hAnsi="Arial"/>
          <w:sz w:val="18"/>
          <w:szCs w:val="18"/>
          <w:color w:val="auto"/>
        </w:rPr>
        <w:t>give to the Trustee notice of any Default by the Company or any other obligor upon the Securities of that series in the making of any payment of the principal of and premium, if any, or interest on the Securities of that series; and</w:t>
      </w:r>
    </w:p>
    <w:p>
      <w:pPr>
        <w:spacing w:after="0" w:line="197" w:lineRule="exact"/>
        <w:rPr>
          <w:rFonts w:ascii="Arial" w:cs="Arial" w:eastAsia="Arial" w:hAnsi="Arial"/>
          <w:sz w:val="18"/>
          <w:szCs w:val="18"/>
          <w:color w:val="auto"/>
        </w:rPr>
      </w:pPr>
    </w:p>
    <w:p>
      <w:pPr>
        <w:ind w:firstLine="914"/>
        <w:spacing w:after="0" w:line="277" w:lineRule="auto"/>
        <w:tabs>
          <w:tab w:leader="none" w:pos="1221" w:val="left"/>
        </w:tabs>
        <w:numPr>
          <w:ilvl w:val="3"/>
          <w:numId w:val="85"/>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pay to the Trustee all sums so held in trust by such Paying Agent.</w:t>
      </w:r>
    </w:p>
    <w:p>
      <w:pPr>
        <w:spacing w:after="0" w:line="197" w:lineRule="exact"/>
        <w:rPr>
          <w:rFonts w:ascii="Arial" w:cs="Arial" w:eastAsia="Arial" w:hAnsi="Arial"/>
          <w:sz w:val="18"/>
          <w:szCs w:val="18"/>
          <w:color w:val="auto"/>
        </w:rPr>
      </w:pPr>
    </w:p>
    <w:p>
      <w:pPr>
        <w:jc w:val="both"/>
        <w:ind w:firstLine="506"/>
        <w:spacing w:after="0" w:line="259" w:lineRule="auto"/>
        <w:tabs>
          <w:tab w:leader="none" w:pos="747" w:val="left"/>
        </w:tabs>
        <w:numPr>
          <w:ilvl w:val="2"/>
          <w:numId w:val="85"/>
        </w:numPr>
        <w:rPr>
          <w:rFonts w:ascii="Arial" w:cs="Arial" w:eastAsia="Arial" w:hAnsi="Arial"/>
          <w:sz w:val="18"/>
          <w:szCs w:val="18"/>
          <w:color w:val="auto"/>
        </w:rPr>
      </w:pPr>
      <w:r>
        <w:rPr>
          <w:rFonts w:ascii="Arial" w:cs="Arial" w:eastAsia="Arial" w:hAnsi="Arial"/>
          <w:sz w:val="18"/>
          <w:szCs w:val="18"/>
          <w:color w:val="auto"/>
        </w:rPr>
        <w:t>Anything in this Section 6.03 to the contrary notwithstanding, the Company may at any time, for the purpose of obtaining a release, satisfaction or discharge of this Indenture or for any other reason, pay or cause to be paid to the Trustee all sums held in trust by the Company or by any Paying Agent other than the Trustee as required by this Section 6.03, such sums to be held by the Trustee upon the same trusts as those upon which such sums were held by the Company or such Paying Agent.</w:t>
      </w:r>
    </w:p>
    <w:p>
      <w:pPr>
        <w:spacing w:after="0" w:line="213" w:lineRule="exact"/>
        <w:rPr>
          <w:rFonts w:ascii="Arial" w:cs="Arial" w:eastAsia="Arial" w:hAnsi="Arial"/>
          <w:sz w:val="18"/>
          <w:szCs w:val="18"/>
          <w:color w:val="auto"/>
        </w:rPr>
      </w:pPr>
    </w:p>
    <w:p>
      <w:pPr>
        <w:jc w:val="both"/>
        <w:ind w:firstLine="458"/>
        <w:spacing w:after="0" w:line="289" w:lineRule="auto"/>
        <w:tabs>
          <w:tab w:leader="none" w:pos="695" w:val="left"/>
        </w:tabs>
        <w:numPr>
          <w:ilvl w:val="0"/>
          <w:numId w:val="86"/>
        </w:numPr>
        <w:rPr>
          <w:rFonts w:ascii="Arial" w:cs="Arial" w:eastAsia="Arial" w:hAnsi="Arial"/>
          <w:sz w:val="16"/>
          <w:szCs w:val="16"/>
          <w:color w:val="auto"/>
        </w:rPr>
      </w:pPr>
      <w:r>
        <w:rPr>
          <w:rFonts w:ascii="Arial" w:cs="Arial" w:eastAsia="Arial" w:hAnsi="Arial"/>
          <w:sz w:val="16"/>
          <w:szCs w:val="16"/>
          <w:color w:val="auto"/>
        </w:rPr>
        <w:t>Subject to any applicable abandoned property law, any money deposited with the Trustee or any Paying Agent, or then held by the Company, in trust for the payment of the principal of and premium, if any, or interest on any Security of any series and remaining unclaimed for two years after such principal and premium, if any, or interest has become due and payable shall be paid to the Company upon Company Order or (if then held by the Company) shall be discharged from such trust, and the Holder of such Security shall thereafter, as an unsecured general creditor, look only to the Company for payment of such amounts without interest thereon,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City of New York, notice that such money remains unclaimed and that, after a date specified therein, which shall not be less than 30 days from the date of such publication, any unclaimed balance of such money then remaining will be repaid to the Company.</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Merger, Consolidation and Sale of Assets</w:t>
      </w:r>
      <w:r>
        <w:rPr>
          <w:rFonts w:ascii="Arial" w:cs="Arial" w:eastAsia="Arial" w:hAnsi="Arial"/>
          <w:sz w:val="16"/>
          <w:szCs w:val="16"/>
          <w:color w:val="auto"/>
        </w:rPr>
        <w:t>. Except as otherwise provided as contemplated by Section 3.01 with respect to any series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38" w:lineRule="exact"/>
        <w:rPr>
          <w:sz w:val="20"/>
          <w:szCs w:val="20"/>
          <w:color w:val="auto"/>
        </w:rPr>
      </w:pPr>
    </w:p>
    <w:p>
      <w:pPr>
        <w:jc w:val="both"/>
        <w:ind w:firstLine="593"/>
        <w:spacing w:after="0" w:line="289" w:lineRule="auto"/>
        <w:tabs>
          <w:tab w:leader="none" w:pos="8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Company will not consolidate with any other entity or accept a merger of any other entity into the Company or permit the Company to be merged into any other entity, or sell other than for cash or lease all or substantially all its assets to another entity, or purchase all or substantially all the assets of another entity, unless (i) either the Company shall be the continuing entity, or the successor, transferee or lessee entity (if other than the Company) shall expressly assume, by indenture supplemental hereto, executed and delivered by such entity prior to or simultaneously with such consolidation, merger, sale or lease, the due and punctual payment of the principal of and interest and premium, if any, on all the Securities, according to their tenor, and the due and punctual performance and observance of all other obligations to the Holders and the Trustee under this Indenture or under the Securities to be performed or observed by the Company; and (ii) immediately after such consolidation, merger, sale, lease or purchase the Company or the successor, transferee or lessee entity (if other than the Company) would not be in Default in the performance of any covenant or condition of this Indenture. A purchase by a Subsidiary of all or substantially all of the assets of another entity shall not be deemed to be a purchase of such assets by the Company.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0" w:name="page51"/>
    <w:bookmarkEnd w:id="50"/>
    <w:p>
      <w:pPr>
        <w:jc w:val="both"/>
        <w:ind w:firstLine="483"/>
        <w:spacing w:after="0" w:line="269" w:lineRule="auto"/>
        <w:tabs>
          <w:tab w:leader="none" w:pos="732" w:val="left"/>
        </w:tabs>
        <w:numPr>
          <w:ilvl w:val="0"/>
          <w:numId w:val="88"/>
        </w:numPr>
        <w:rPr>
          <w:rFonts w:ascii="Arial" w:cs="Arial" w:eastAsia="Arial" w:hAnsi="Arial"/>
          <w:sz w:val="17"/>
          <w:szCs w:val="17"/>
          <w:color w:val="auto"/>
        </w:rPr>
      </w:pPr>
      <w:r>
        <w:rPr>
          <w:rFonts w:ascii="Arial" w:cs="Arial" w:eastAsia="Arial" w:hAnsi="Arial"/>
          <w:sz w:val="17"/>
          <w:szCs w:val="17"/>
          <w:color w:val="auto"/>
        </w:rPr>
        <w:t>Upon any consolidation with or merger into any other entity, or any sale other than for cash, or any conveyance or lease of all or substantially all of the assets of the Company in accordance with this Section 6.04, the successor entity formed by such consolidation or into or with which the Company is merged or to which the Company is sold or to which such conveyance, transfer or lease is made shall succeed to, and be substituted for, and may exercise every right and power of, the Company under this Indenture with the same effect as if such successor entity had been named as the Company herein, and thereafter, except in the case of a lease, the predecessor Company shall be relieved of all obligations and covenants under this Indenture and the Securities, and from time to time such entity may exercise each and every right and power of the Company under this Indenture, in the name of the Company, or in its own name; and any act or proceeding by any provision of this Indenture required or permitted to be done by the Board of Directors or any officer of the Company may be done with like force and effect by the like board or officer of any entity that shall at the time be the successor of the Company hereunder. In the event of any such sale or conveyance, but not any such lease, the Company (or any successor entity which shall theretofore have become such in the manner described in this Section 6.04) shall be discharged from all obligations and covenants under this Indenture and the Securities and may thereupon be dissolved and liquidated.</w:t>
      </w:r>
    </w:p>
    <w:p>
      <w:pPr>
        <w:spacing w:after="0" w:line="210" w:lineRule="exact"/>
        <w:rPr>
          <w:sz w:val="20"/>
          <w:szCs w:val="20"/>
          <w:color w:val="auto"/>
        </w:rPr>
      </w:pPr>
    </w:p>
    <w:p>
      <w:pPr>
        <w:jc w:val="both"/>
        <w:ind w:firstLine="653"/>
        <w:spacing w:after="0" w:line="273"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Except as otherwise provided as contemplated by Section 3.01 with respect to any series of Securities, the Company shall furnish to the Trustee annually, within 120 days after the end of each fiscal year, a brief certificate from the chief executive officer, president, chief operating officer, principal financial officer, principal accounting officer, any vice president or treasurer as to his or her knowledge of the Company’s compliance with all conditions and covenants under this Indenture (which compliance shall be determined without regard to any period of grace or requirement of notice provided under this Indenture) and, in the event of any Default, specifying each such Default and the nature and status thereof of which such person may have knowledge. Such certificates need not comply with Section 15.01.</w:t>
      </w:r>
    </w:p>
    <w:p>
      <w:pPr>
        <w:spacing w:after="0" w:line="205"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Conditional Waiver by Holders of Securities</w:t>
      </w:r>
      <w:r>
        <w:rPr>
          <w:rFonts w:ascii="Arial" w:cs="Arial" w:eastAsia="Arial" w:hAnsi="Arial"/>
          <w:sz w:val="17"/>
          <w:szCs w:val="17"/>
          <w:color w:val="auto"/>
        </w:rPr>
        <w:t>. Anything in this Indenture to the contrary notwithstanding, the Company may fail or omit in any particular instance to comply with a covenant or condition set forth herein with respect to any series of Securities if the Company shall have obtained and filed with the Trustee, prior to the time of such failure or omission, evidence (as provided in Article VIII) of the consent of the Holders of a majority in aggregate principal amount of the Securities of such series at the time Outstanding, either waiving such compliance in such instance or generally waiving compliance with such covenant or condition, but no such waiver shall extend to or affect such covenant or condition except to the extent so expressly waived, or impair any right consequent thereon and, until such waiver shall have become effective, the obligations of the Company and the duties of the Trustee in respect of any such covenant or condition shall remain in full force and effect.</w:t>
      </w:r>
    </w:p>
    <w:p>
      <w:pPr>
        <w:spacing w:after="0" w:line="205"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Statement by Officers as to Default</w:t>
      </w:r>
      <w:r>
        <w:rPr>
          <w:rFonts w:ascii="Arial" w:cs="Arial" w:eastAsia="Arial" w:hAnsi="Arial"/>
          <w:sz w:val="18"/>
          <w:szCs w:val="18"/>
          <w:color w:val="auto"/>
        </w:rPr>
        <w:t>. The Company shall deliver to the Trustee as soon as possible and in any event within 30 days after the Company becomes aware of the occurrence of any Event of Default or an event which, with the giving of notice or the lapse of time or both, would constitute an Event of Default, an Officer’s Certificate setting forth the details of such Event of Default or Default and the action which the Company proposes to take with respect thereto.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ARTICLE VII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REMEDIES OF TRUSTEE AND SECURITYHOLDERS</w:t>
      </w:r>
    </w:p>
    <w:p>
      <w:pPr>
        <w:spacing w:after="0" w:line="256" w:lineRule="exact"/>
        <w:rPr>
          <w:sz w:val="20"/>
          <w:szCs w:val="20"/>
          <w:color w:val="auto"/>
        </w:rPr>
      </w:pPr>
    </w:p>
    <w:p>
      <w:pPr>
        <w:jc w:val="both"/>
        <w:ind w:firstLine="464"/>
        <w:spacing w:after="0" w:line="26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Except where otherwise indicated by the context or where the term is otherwise defined for a specific purpose, the term “Event of Default” as used in this Indenture with respect to Securities of any series shall mean one of the following described events unless it is either inapplicable to a particular series or it is specifically deleted or modified in the manner contemplated in Section 3.01:</w:t>
      </w:r>
    </w:p>
    <w:p>
      <w:pPr>
        <w:spacing w:after="0" w:line="208" w:lineRule="exact"/>
        <w:rPr>
          <w:sz w:val="20"/>
          <w:szCs w:val="20"/>
          <w:color w:val="auto"/>
        </w:rPr>
      </w:pPr>
    </w:p>
    <w:p>
      <w:pPr>
        <w:ind w:right="20" w:firstLine="574"/>
        <w:spacing w:after="0" w:line="277" w:lineRule="auto"/>
        <w:tabs>
          <w:tab w:leader="none" w:pos="823" w:val="left"/>
        </w:tabs>
        <w:numPr>
          <w:ilvl w:val="3"/>
          <w:numId w:val="89"/>
        </w:numPr>
        <w:rPr>
          <w:rFonts w:ascii="Arial" w:cs="Arial" w:eastAsia="Arial" w:hAnsi="Arial"/>
          <w:sz w:val="18"/>
          <w:szCs w:val="18"/>
          <w:color w:val="auto"/>
        </w:rPr>
      </w:pPr>
      <w:r>
        <w:rPr>
          <w:rFonts w:ascii="Arial" w:cs="Arial" w:eastAsia="Arial" w:hAnsi="Arial"/>
          <w:sz w:val="18"/>
          <w:szCs w:val="18"/>
          <w:color w:val="auto"/>
        </w:rPr>
        <w:t>the failure of the Company to pay any installment of interest on any Security of such series when and as the same shall become payable, which failure shall have continued unremedied for a period of 30 days;</w:t>
      </w:r>
    </w:p>
    <w:p>
      <w:pPr>
        <w:spacing w:after="0" w:line="197" w:lineRule="exact"/>
        <w:rPr>
          <w:rFonts w:ascii="Arial" w:cs="Arial" w:eastAsia="Arial" w:hAnsi="Arial"/>
          <w:sz w:val="18"/>
          <w:szCs w:val="18"/>
          <w:color w:val="auto"/>
        </w:rPr>
      </w:pPr>
    </w:p>
    <w:p>
      <w:pPr>
        <w:jc w:val="both"/>
        <w:ind w:firstLine="626"/>
        <w:spacing w:after="0" w:line="264" w:lineRule="auto"/>
        <w:tabs>
          <w:tab w:leader="none" w:pos="890" w:val="left"/>
        </w:tabs>
        <w:numPr>
          <w:ilvl w:val="4"/>
          <w:numId w:val="89"/>
        </w:numPr>
        <w:rPr>
          <w:rFonts w:ascii="Arial" w:cs="Arial" w:eastAsia="Arial" w:hAnsi="Arial"/>
          <w:sz w:val="18"/>
          <w:szCs w:val="18"/>
          <w:color w:val="auto"/>
        </w:rPr>
      </w:pPr>
      <w:r>
        <w:rPr>
          <w:rFonts w:ascii="Arial" w:cs="Arial" w:eastAsia="Arial" w:hAnsi="Arial"/>
          <w:sz w:val="18"/>
          <w:szCs w:val="18"/>
          <w:color w:val="auto"/>
        </w:rPr>
        <w:t>the failure of the Company to pay the principal of (and premium, if any, on) any Security of such series, when and as the same shall become payable, whether at Maturity as therein expressed, by call for redemption (otherwise than pursuant to a sinking fund), by declaration as authorized by this Indenture or otherwise;</w:t>
      </w:r>
    </w:p>
    <w:p>
      <w:pPr>
        <w:spacing w:after="0" w:line="208" w:lineRule="exact"/>
        <w:rPr>
          <w:rFonts w:ascii="Arial" w:cs="Arial" w:eastAsia="Arial" w:hAnsi="Arial"/>
          <w:sz w:val="18"/>
          <w:szCs w:val="18"/>
          <w:color w:val="auto"/>
        </w:rPr>
      </w:pPr>
    </w:p>
    <w:p>
      <w:pPr>
        <w:ind w:firstLine="496"/>
        <w:spacing w:after="0" w:line="277" w:lineRule="auto"/>
        <w:tabs>
          <w:tab w:leader="none" w:pos="737"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failure of the Company to pay a sinking fund installment, if any, when and as the same shall become payable by the terms of a Security of such series, which failure shall have continued unremedied for a period of 30 days;</w:t>
      </w:r>
    </w:p>
    <w:p>
      <w:pPr>
        <w:spacing w:after="0" w:line="197" w:lineRule="exact"/>
        <w:rPr>
          <w:rFonts w:ascii="Arial" w:cs="Arial" w:eastAsia="Arial" w:hAnsi="Arial"/>
          <w:sz w:val="18"/>
          <w:szCs w:val="18"/>
          <w:color w:val="auto"/>
        </w:rPr>
      </w:pPr>
    </w:p>
    <w:p>
      <w:pPr>
        <w:jc w:val="both"/>
        <w:ind w:firstLine="474"/>
        <w:spacing w:after="0" w:line="254" w:lineRule="auto"/>
        <w:tabs>
          <w:tab w:leader="none" w:pos="72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failure of the Company, subject to the provisions of Section 6.06, to perform any covenants or agreements contained in this Indenture (including any indenture supplemental hereto pursuant to which the Securities of such series were issued as contemplated by Section 3.01) (other than a covenant or agreement which has been expressly included in this Indenture solely for the benefit of a series of Securities other than that series and other than a covenant or agreement a default in the performance of which is elsewhere in this Section 7.01 specifically addressed), which failure shall not have been remedied, or without provision deemed to be adequate for the remedying thereof having been made, for a period of 90 days after written notice shall have been given to the Company by the Trustee or shall have been given to the Company and the Trustee by Holders of 25% or more in aggregate principal amount of the Securities of such series then Outstanding, specifying such failure, requiring the Company to remedy the same and stating that such notice is a “Notice of Default” hereunder;</w:t>
      </w:r>
    </w:p>
    <w:p>
      <w:pPr>
        <w:spacing w:after="0" w:line="219" w:lineRule="exact"/>
        <w:rPr>
          <w:rFonts w:ascii="Arial" w:cs="Arial" w:eastAsia="Arial" w:hAnsi="Arial"/>
          <w:sz w:val="18"/>
          <w:szCs w:val="18"/>
          <w:color w:val="auto"/>
        </w:rPr>
      </w:pPr>
    </w:p>
    <w:p>
      <w:pPr>
        <w:jc w:val="both"/>
        <w:ind w:firstLine="550"/>
        <w:spacing w:after="0" w:line="257" w:lineRule="auto"/>
        <w:tabs>
          <w:tab w:leader="none" w:pos="796" w:val="left"/>
        </w:tabs>
        <w:numPr>
          <w:ilvl w:val="2"/>
          <w:numId w:val="91"/>
        </w:numPr>
        <w:rPr>
          <w:rFonts w:ascii="Arial" w:cs="Arial" w:eastAsia="Arial" w:hAnsi="Arial"/>
          <w:sz w:val="18"/>
          <w:szCs w:val="18"/>
          <w:color w:val="auto"/>
        </w:rPr>
      </w:pPr>
      <w:r>
        <w:rPr>
          <w:rFonts w:ascii="Arial" w:cs="Arial" w:eastAsia="Arial" w:hAnsi="Arial"/>
          <w:sz w:val="18"/>
          <w:szCs w:val="18"/>
          <w:color w:val="auto"/>
        </w:rPr>
        <w:t>the entry by a court having jurisdiction in the premises of a decree or order for relief in respect of the Company in an involuntary case under the federal bankruptcy laws, as now or hereafter constituted, or any other applicable federal or state bankruptcy, insolvency or other similar law now or hereafter in effect, or appointing a receiver, liquidator, assignee, custodian, trustee or sequestrator (or similar official) of the Company or of substantially all the property of the Company or ordering the winding-up or liquidation of its affairs and such decree or order shall remain unstayed and in effect for a period of 90 consecutive days;</w:t>
      </w:r>
    </w:p>
    <w:p>
      <w:pPr>
        <w:spacing w:after="0" w:line="215" w:lineRule="exact"/>
        <w:rPr>
          <w:rFonts w:ascii="Arial" w:cs="Arial" w:eastAsia="Arial" w:hAnsi="Arial"/>
          <w:sz w:val="18"/>
          <w:szCs w:val="18"/>
          <w:color w:val="auto"/>
        </w:rPr>
      </w:pPr>
    </w:p>
    <w:p>
      <w:pPr>
        <w:jc w:val="both"/>
        <w:ind w:firstLine="499"/>
        <w:spacing w:after="0" w:line="255" w:lineRule="auto"/>
        <w:tabs>
          <w:tab w:leader="none" w:pos="7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commencement by the Company of a voluntary case under the federal bankruptcy laws, as now or hereafter constituted, or any other applicable federal or state bankruptcy, insolvency or other similar law now or hereafter in effect, or the consent by the Company to the entry of an order for relief in an involuntary case under any such law, or the consent by the Company to the appointment of or taking possession by a receiver, liquidator, assignee, trustee, custodian or sequestrator (or similar official) of the Company or of substantially all the property of the Company or the making by it of an assignment for the benefit of creditors or the admission by it in writing of its inability to pay its debts generally as they become due, or the taking of corporate action by the Company in furtherance of any action; or</w:t>
      </w:r>
    </w:p>
    <w:p>
      <w:pPr>
        <w:spacing w:after="0" w:line="220" w:lineRule="exact"/>
        <w:rPr>
          <w:rFonts w:ascii="Arial" w:cs="Arial" w:eastAsia="Arial" w:hAnsi="Arial"/>
          <w:sz w:val="18"/>
          <w:szCs w:val="18"/>
          <w:color w:val="auto"/>
        </w:rPr>
      </w:pPr>
    </w:p>
    <w:p>
      <w:pPr>
        <w:jc w:val="both"/>
        <w:ind w:firstLine="497"/>
        <w:spacing w:after="0" w:line="302" w:lineRule="auto"/>
        <w:tabs>
          <w:tab w:leader="none" w:pos="747"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the occurrence of any other Event of Default with respect to Securities of such series as provided in Section 3.01; provided, however, that no event described in clause (d) or (other than with respect to a payment default) (g) above shall constitute an Event of Default hereunder until a Responsible Officer assigned to and working in the Trustee’s corporate trust department has actual knowledge thereof or until a written notice of any such event is received by the Trustee at the Corporate Trust Office, and such notice refers to the facts underlying such event, the Securities generally, the Company and this Indenture.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2" w:name="page53"/>
    <w:bookmarkEnd w:id="52"/>
    <w:p>
      <w:pPr>
        <w:jc w:val="both"/>
        <w:ind w:firstLine="454"/>
        <w:spacing w:after="0" w:line="270" w:lineRule="auto"/>
        <w:rPr>
          <w:sz w:val="20"/>
          <w:szCs w:val="20"/>
          <w:color w:val="auto"/>
        </w:rPr>
      </w:pPr>
      <w:r>
        <w:rPr>
          <w:rFonts w:ascii="Arial" w:cs="Arial" w:eastAsia="Arial" w:hAnsi="Arial"/>
          <w:sz w:val="17"/>
          <w:szCs w:val="17"/>
          <w:color w:val="auto"/>
        </w:rPr>
        <w:t>Notwithstanding the foregoing provisions of this Section 7.01, if the principal or any premium or interest on any Security is payable in a Currency other than the Currency of the United States and such Currency is not available to the Company for making payment thereof due to the imposition of exchange controls or other circumstances beyond the control of the Company, the Company will be entitled to satisfy its obligations to Holders of the Securities by making such payment in the Currency of the United States in an amount equal to the Currency of the United States equivalent of the amount payable in such other Currency, as determined by the Company by reference to the noon buying rate in The City of New York for cable transfers for such Currency (“Exchange Rate”), as such Exchange Rate is reported or otherwise made available by the Federal Reserve Bank of New York on the date of such payment, or, if such rate is not then available, on the basis of the most recently available Exchange Rate. Notwithstanding the foregoing provisions of this Section 7.01, any payment made under such circumstances in the Currency of the United States where the required payment is in a Currency other than the Currency of the United States will not constitute an Event of Default under this Indenture.</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Acceleration; Rescission and Annulment</w:t>
      </w:r>
      <w:r>
        <w:rPr>
          <w:rFonts w:ascii="Arial" w:cs="Arial" w:eastAsia="Arial" w:hAnsi="Arial"/>
          <w:sz w:val="18"/>
          <w:szCs w:val="18"/>
          <w:color w:val="auto"/>
        </w:rPr>
        <w:t>.</w:t>
      </w:r>
    </w:p>
    <w:p>
      <w:pPr>
        <w:spacing w:after="0" w:line="252" w:lineRule="exact"/>
        <w:rPr>
          <w:sz w:val="20"/>
          <w:szCs w:val="20"/>
          <w:color w:val="auto"/>
        </w:rPr>
      </w:pPr>
    </w:p>
    <w:p>
      <w:pPr>
        <w:jc w:val="both"/>
        <w:ind w:firstLine="541"/>
        <w:spacing w:after="0" w:line="287" w:lineRule="auto"/>
        <w:tabs>
          <w:tab w:leader="none" w:pos="787" w:val="left"/>
        </w:tabs>
        <w:numPr>
          <w:ilvl w:val="0"/>
          <w:numId w:val="92"/>
        </w:numPr>
        <w:rPr>
          <w:rFonts w:ascii="Arial" w:cs="Arial" w:eastAsia="Arial" w:hAnsi="Arial"/>
          <w:sz w:val="16"/>
          <w:szCs w:val="16"/>
          <w:color w:val="auto"/>
        </w:rPr>
      </w:pPr>
      <w:r>
        <w:rPr>
          <w:rFonts w:ascii="Arial" w:cs="Arial" w:eastAsia="Arial" w:hAnsi="Arial"/>
          <w:sz w:val="16"/>
          <w:szCs w:val="16"/>
          <w:color w:val="auto"/>
        </w:rPr>
        <w:t>Except as otherwise provided as contemplated by Section 3.01 with respect to any series of Securities, if any one or more of the above-described Events of Default (other than an Event of Default specified in Section 7.01(e) or 7.01(f)) shall happen with respect to Securities of any series at the time Outstanding, then, and in each and every such case, during the continuance of any such Event of Default, the Trustee or the Holders of 25% or more in principal amount of the Securities of such series then Outstanding may declare the principal (or, if the Securities of that series are Original Issue Discount Securities, such portion of the principal amount as may be specified in the terms of that series) of and all accrued but unpaid interest on all the Securities of such series then Outstanding to be due and payable immediately by a notice in writing to the Company (and to the Trustee if given by Holders), and upon any such declaration such principal amount (or specified amount) shall become immediately due and payable. If an Event of Default specified in Section 7.01(e) or 7.01(f) occurs and is continuing, then in every such case, the principal amount of all of the Securities of that series then Outstanding shall automatically, and without any declaration or any other action on the part of the Trustee or any Holder, become due and payable immediately. Upon payment of such amounts in the Currency in which such Securities are denominated (subject to Section 7.01 and except as otherwise provided pursuant to Section 3.01), all obligations of the Company in respect of the payment of principal of and interest on the Securities of such series shall terminate.</w:t>
      </w:r>
    </w:p>
    <w:p>
      <w:pPr>
        <w:spacing w:after="0" w:line="199" w:lineRule="exact"/>
        <w:rPr>
          <w:rFonts w:ascii="Arial" w:cs="Arial" w:eastAsia="Arial" w:hAnsi="Arial"/>
          <w:sz w:val="16"/>
          <w:szCs w:val="16"/>
          <w:color w:val="auto"/>
        </w:rPr>
      </w:pPr>
    </w:p>
    <w:p>
      <w:pPr>
        <w:jc w:val="both"/>
        <w:ind w:firstLine="548"/>
        <w:spacing w:after="0" w:line="257" w:lineRule="auto"/>
        <w:tabs>
          <w:tab w:leader="none" w:pos="801"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provisions of Section 7.02(a), however, are subject to the condition that, at any time after the principal of all the Securities of such series, to which any one or more of the above-described Events of Default is applicable, shall have been so declared to be due and payable, and before a judgment or decree for payment of the money due has been obtained by the Trustee as hereinafter provided in this Article, the Event of Default giving rise to such declaration of acceleration shall, without further act, be deemed to have been waived, and such declaration and its consequences shall, without further act, be deemed to have been rescinded and annulled, if:</w:t>
      </w:r>
    </w:p>
    <w:p>
      <w:pPr>
        <w:spacing w:after="0" w:line="215" w:lineRule="exact"/>
        <w:rPr>
          <w:rFonts w:ascii="Arial" w:cs="Arial" w:eastAsia="Arial" w:hAnsi="Arial"/>
          <w:sz w:val="18"/>
          <w:szCs w:val="18"/>
          <w:color w:val="auto"/>
        </w:rPr>
      </w:pPr>
    </w:p>
    <w:p>
      <w:pPr>
        <w:ind w:firstLine="926"/>
        <w:spacing w:after="0" w:line="277" w:lineRule="auto"/>
        <w:tabs>
          <w:tab w:leader="none" w:pos="1134"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or Paying Agent a sum in the Currency in which such Securities are denominated (subject to Section 7.01 and except as otherwise provided pursuant to Section 3.01) sufficient to pay:</w:t>
      </w:r>
    </w:p>
    <w:p>
      <w:pPr>
        <w:spacing w:after="0" w:line="197" w:lineRule="exact"/>
        <w:rPr>
          <w:rFonts w:ascii="Arial" w:cs="Arial" w:eastAsia="Arial" w:hAnsi="Arial"/>
          <w:sz w:val="18"/>
          <w:szCs w:val="18"/>
          <w:color w:val="auto"/>
        </w:rPr>
      </w:pPr>
    </w:p>
    <w:p>
      <w:pPr>
        <w:ind w:right="20" w:firstLine="1391"/>
        <w:spacing w:after="0" w:line="277" w:lineRule="auto"/>
        <w:tabs>
          <w:tab w:leader="none" w:pos="1679" w:val="left"/>
        </w:tabs>
        <w:numPr>
          <w:ilvl w:val="3"/>
          <w:numId w:val="92"/>
        </w:numPr>
        <w:rPr>
          <w:rFonts w:ascii="Arial" w:cs="Arial" w:eastAsia="Arial" w:hAnsi="Arial"/>
          <w:sz w:val="18"/>
          <w:szCs w:val="18"/>
          <w:color w:val="auto"/>
        </w:rPr>
      </w:pPr>
      <w:r>
        <w:rPr>
          <w:rFonts w:ascii="Arial" w:cs="Arial" w:eastAsia="Arial" w:hAnsi="Arial"/>
          <w:sz w:val="18"/>
          <w:szCs w:val="18"/>
          <w:color w:val="auto"/>
        </w:rPr>
        <w:t>all amounts owing the Trustee and any predecessor trustee hereunder under Section 11.01(a) (provided, however, that all sums payable under this clause (A) shall be paid in U.S. Dollars);</w:t>
      </w:r>
    </w:p>
    <w:p>
      <w:pPr>
        <w:spacing w:after="0" w:line="197" w:lineRule="exact"/>
        <w:rPr>
          <w:rFonts w:ascii="Arial" w:cs="Arial" w:eastAsia="Arial" w:hAnsi="Arial"/>
          <w:sz w:val="18"/>
          <w:szCs w:val="18"/>
          <w:color w:val="auto"/>
        </w:rPr>
      </w:pPr>
    </w:p>
    <w:p>
      <w:pPr>
        <w:ind w:firstLine="1628"/>
        <w:spacing w:after="0" w:line="342" w:lineRule="auto"/>
        <w:tabs>
          <w:tab w:leader="none" w:pos="1914" w:val="left"/>
        </w:tabs>
        <w:numPr>
          <w:ilvl w:val="4"/>
          <w:numId w:val="92"/>
        </w:numPr>
        <w:rPr>
          <w:rFonts w:ascii="Arial" w:cs="Arial" w:eastAsia="Arial" w:hAnsi="Arial"/>
          <w:sz w:val="16"/>
          <w:szCs w:val="16"/>
          <w:color w:val="auto"/>
        </w:rPr>
      </w:pPr>
      <w:r>
        <w:rPr>
          <w:rFonts w:ascii="Arial" w:cs="Arial" w:eastAsia="Arial" w:hAnsi="Arial"/>
          <w:sz w:val="16"/>
          <w:szCs w:val="16"/>
          <w:color w:val="auto"/>
        </w:rPr>
        <w:t>all arrears of interest, if any, upon all the Securities of such series (with interest, to the extent that interest thereon shall be legally enforceable, on any overdue installment of interest at the rate borne by such Securities at the rate or rates prescribed therefor in such Securities); and</w:t>
      </w:r>
    </w:p>
    <w:p>
      <w:pPr>
        <w:spacing w:after="0" w:line="150" w:lineRule="exact"/>
        <w:rPr>
          <w:rFonts w:ascii="Arial" w:cs="Arial" w:eastAsia="Arial" w:hAnsi="Arial"/>
          <w:sz w:val="16"/>
          <w:szCs w:val="16"/>
          <w:color w:val="auto"/>
        </w:rPr>
      </w:pPr>
    </w:p>
    <w:p>
      <w:pPr>
        <w:ind w:firstLine="1626"/>
        <w:spacing w:after="0" w:line="277" w:lineRule="auto"/>
        <w:tabs>
          <w:tab w:leader="none" w:pos="1911" w:val="left"/>
        </w:tabs>
        <w:numPr>
          <w:ilvl w:val="4"/>
          <w:numId w:val="92"/>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such series that have become due otherwise than by such declaration of acceleration and interest thereon.</w:t>
      </w:r>
    </w:p>
    <w:p>
      <w:pPr>
        <w:spacing w:after="0" w:line="197" w:lineRule="exact"/>
        <w:rPr>
          <w:rFonts w:ascii="Arial" w:cs="Arial" w:eastAsia="Arial" w:hAnsi="Arial"/>
          <w:sz w:val="18"/>
          <w:szCs w:val="18"/>
          <w:color w:val="auto"/>
        </w:rPr>
      </w:pPr>
    </w:p>
    <w:p>
      <w:pPr>
        <w:ind w:firstLine="957"/>
        <w:spacing w:after="0" w:line="308" w:lineRule="auto"/>
        <w:tabs>
          <w:tab w:leader="none" w:pos="1217" w:val="left"/>
        </w:tabs>
        <w:numPr>
          <w:ilvl w:val="2"/>
          <w:numId w:val="92"/>
        </w:numPr>
        <w:rPr>
          <w:rFonts w:ascii="Arial" w:cs="Arial" w:eastAsia="Arial" w:hAnsi="Arial"/>
          <w:sz w:val="17"/>
          <w:szCs w:val="17"/>
          <w:color w:val="auto"/>
        </w:rPr>
      </w:pPr>
      <w:r>
        <w:rPr>
          <w:rFonts w:ascii="Arial" w:cs="Arial" w:eastAsia="Arial" w:hAnsi="Arial"/>
          <w:sz w:val="17"/>
          <w:szCs w:val="17"/>
          <w:color w:val="auto"/>
        </w:rPr>
        <w:t>every other Default and Event of Default with respect to Securities of that series, other than the non-payment of the principal of Securities of that series which have become due solely by such declaration of acceleration, have been cured or waived as provided in Section 7.06.</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3" w:name="page54"/>
    <w:bookmarkEnd w:id="53"/>
    <w:p>
      <w:pPr>
        <w:ind w:left="700" w:hanging="242"/>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 such rescission shall affect any subsequent default or impair any right consequent thereon.</w:t>
      </w:r>
    </w:p>
    <w:p>
      <w:pPr>
        <w:spacing w:after="0" w:line="252" w:lineRule="exact"/>
        <w:rPr>
          <w:rFonts w:ascii="Arial" w:cs="Arial" w:eastAsia="Arial" w:hAnsi="Arial"/>
          <w:sz w:val="18"/>
          <w:szCs w:val="18"/>
          <w:color w:val="auto"/>
        </w:rPr>
      </w:pPr>
    </w:p>
    <w:p>
      <w:pPr>
        <w:jc w:val="both"/>
        <w:ind w:firstLine="470"/>
        <w:spacing w:after="0" w:line="255" w:lineRule="auto"/>
        <w:tabs>
          <w:tab w:leader="none" w:pos="718" w:val="left"/>
        </w:tabs>
        <w:numPr>
          <w:ilvl w:val="1"/>
          <w:numId w:val="93"/>
        </w:numPr>
        <w:rPr>
          <w:rFonts w:ascii="Arial" w:cs="Arial" w:eastAsia="Arial" w:hAnsi="Arial"/>
          <w:sz w:val="18"/>
          <w:szCs w:val="18"/>
          <w:color w:val="auto"/>
        </w:rPr>
      </w:pPr>
      <w:r>
        <w:rPr>
          <w:rFonts w:ascii="Arial" w:cs="Arial" w:eastAsia="Arial" w:hAnsi="Arial"/>
          <w:sz w:val="18"/>
          <w:szCs w:val="18"/>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220" w:lineRule="exact"/>
        <w:rPr>
          <w:sz w:val="20"/>
          <w:szCs w:val="20"/>
          <w:color w:val="auto"/>
        </w:rPr>
      </w:pPr>
    </w:p>
    <w:p>
      <w:pPr>
        <w:jc w:val="both"/>
        <w:ind w:firstLine="463"/>
        <w:spacing w:after="0" w:line="254"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Other Remedies</w:t>
      </w:r>
      <w:r>
        <w:rPr>
          <w:rFonts w:ascii="Arial" w:cs="Arial" w:eastAsia="Arial" w:hAnsi="Arial"/>
          <w:sz w:val="18"/>
          <w:szCs w:val="18"/>
          <w:color w:val="auto"/>
        </w:rPr>
        <w:t>. If the Company shall fail for a period of 30 days to pay any installment of interest on the Securities of any series or shall fail to pay the principal of and premium, if any, on any of the Securities of such series when and as the same shall become due and payable, whether at Maturity, or by call for redemption (other than pursuant to the sinking fund), by declaration as authorized by this Indenture, or otherwise, or shall fail for a period of 30 days to make any required sinking fund payment as to a series of Securities, then, upon demand of the Trustee, the Company will pay to the Paying Agent for the benefit of the Holders of Securities of such series then Outstanding the whole amount which then shall have become due and payable on all the Securities of such series, with interest on the overdue principal and premium, if any, and (so far as the same may be legally enforceable) on the overdue installments of interest at the rate borne by the Securities of such series, and all amounts owing the Trustee and any predecessor trustee hereunder under Section 11.01(a).</w:t>
      </w:r>
    </w:p>
    <w:p>
      <w:pPr>
        <w:spacing w:after="0" w:line="219" w:lineRule="exact"/>
        <w:rPr>
          <w:sz w:val="20"/>
          <w:szCs w:val="20"/>
          <w:color w:val="auto"/>
        </w:rPr>
      </w:pPr>
    </w:p>
    <w:p>
      <w:pPr>
        <w:jc w:val="both"/>
        <w:ind w:firstLine="505"/>
        <w:spacing w:after="0" w:line="253" w:lineRule="auto"/>
        <w:rPr>
          <w:sz w:val="20"/>
          <w:szCs w:val="20"/>
          <w:color w:val="auto"/>
        </w:rPr>
      </w:pPr>
      <w:r>
        <w:rPr>
          <w:rFonts w:ascii="Arial" w:cs="Arial" w:eastAsia="Arial" w:hAnsi="Arial"/>
          <w:sz w:val="18"/>
          <w:szCs w:val="18"/>
          <w:color w:val="auto"/>
        </w:rPr>
        <w:t>In case the Company shall fail forthwith to pay such amounts upon such demand, the Trustee, in its own name and as trustee of an express trust, shall be entitled and empowered to institute any action or proceeding at law or in equity for the collection of the sums so due and unpaid, and may prosecute any such action or proceeding to judgment or final decree, and may enforce any such judgment or final decree against the Company or any other obligor upon the Securities of such series, and collect the moneys adjudged or decreed to be payable out of the property of the Company or any other obligor upon the Securities of such series, wherever situated, in the manner provided by law. Every recovery of judgment in any such action or other proceeding, subject to the payment to the Trustee of all amounts owing the Trustee and any predecessor trustee hereunder under Section 11.01(a), shall be for the ratable benefit of the Holders of such series of Securities which shall be the subject of such action or proceeding. All rights of action upon or under any of the Securities or this Indenture may be enforced by the Trustee without the possession of any of the Securities and without the production of any thereof at any trial or any proceeding relative thereto.</w:t>
      </w:r>
    </w:p>
    <w:p>
      <w:pPr>
        <w:spacing w:after="0" w:line="224"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Trustee as Attorney-in-Fact</w:t>
      </w:r>
      <w:r>
        <w:rPr>
          <w:rFonts w:ascii="Arial" w:cs="Arial" w:eastAsia="Arial" w:hAnsi="Arial"/>
          <w:sz w:val="17"/>
          <w:szCs w:val="17"/>
          <w:color w:val="auto"/>
        </w:rPr>
        <w:t>. The Trustee is hereby appointed, and each and every Holder of the Securities, by receiving and holding the same, shall be conclusively deemed to have appointed the Trustee, the true and lawful attorney-in-fact of such Holder, with authority to make or file (whether or not the Company shall be in Default in respect of the payment of the principal of, or interest on, any of the Securities), in its own name and as trustee of an express trust or otherwise as it shall deem advisable, in any receivership, insolvency, liquidation, bankruptcy, reorganization or other judicial proceeding relative to the Company or any other obligor upon the Securities or to their respective creditors or property, any and all claims, proofs of claim, proofs of debt, petitions, consents, other papers and documents and amendments of any thereof, as may be necessary or advisable in order to have the claims of the Trustee and any predecessor trustee hereunder and of the Holders of the Securities allowed in any such proceeding and to collect and receive any moneys or other property payable or deliverable on any such claim, and to execute and deliver any and all other papers and documents and to do and perform any and all other acts and things, as it may deem necessary or advisable in order to enforce in any such proceeding any of the claims of the Trustee and any predecessor trustee hereunder and of any of such Holders in respect of any of the Securities; and any receiver, assignee, trustee, custodian or debtor in any such proceeding is hereby authorized, and each and every taker or Holder of the Securities, by receiving and holding the same, shall be conclusively deemed to have authorized any such receiver, assignee, trustee, custodian or debtor, to make any such payment or delivery only to or on the order of the Trustee, and to pay to the Trustee any amount due it and any predecessor trustee hereunder under Section 11.01(a); provided, however, that nothing herein contained shall be deemed to authorize or empower the Trustee to consent to or accept or adopt, on behalf of any Holder of Securities, any plan of reorganization or readjustment affecting the Securities or the rights of any Holder thereof, or to authorize or empower the Trustee to vote in respect of the claim of any Holder of any Securities in any such proceeding.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4" w:name="page55"/>
    <w:bookmarkEnd w:id="54"/>
    <w:p>
      <w:pPr>
        <w:jc w:val="both"/>
        <w:ind w:firstLine="450"/>
        <w:spacing w:after="0" w:line="259"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Priorities</w:t>
      </w:r>
      <w:r>
        <w:rPr>
          <w:rFonts w:ascii="Arial" w:cs="Arial" w:eastAsia="Arial" w:hAnsi="Arial"/>
          <w:sz w:val="18"/>
          <w:szCs w:val="18"/>
          <w:color w:val="auto"/>
        </w:rPr>
        <w:t>. Any moneys or properties collected by the Trustee with respect to a series of Securities under this Article VII shall be applied in the order following, at the date or dates fixed by the Trustee for the distribution of such moneys or properties and, in the case of the distribution of such moneys or properties on account of the Securities of any series, upon presentation of the Securities of such series, and stamping thereon the payment, if only partially paid, and upon surrender thereof, if fully paid:</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To the payment of all amounts due to the Trustee and any predecessor trustee hereunder under Section 11.01(a).</w:t>
      </w:r>
    </w:p>
    <w:p>
      <w:pPr>
        <w:spacing w:after="0" w:line="252" w:lineRule="exact"/>
        <w:rPr>
          <w:sz w:val="20"/>
          <w:szCs w:val="20"/>
          <w:color w:val="auto"/>
        </w:rPr>
      </w:pPr>
    </w:p>
    <w:p>
      <w:pPr>
        <w:jc w:val="both"/>
        <w:ind w:firstLine="529"/>
        <w:spacing w:after="0" w:line="259" w:lineRule="auto"/>
        <w:rPr>
          <w:sz w:val="20"/>
          <w:szCs w:val="20"/>
          <w:color w:val="auto"/>
        </w:rPr>
      </w:pPr>
      <w:r>
        <w:rPr>
          <w:rFonts w:ascii="Arial" w:cs="Arial" w:eastAsia="Arial" w:hAnsi="Arial"/>
          <w:sz w:val="18"/>
          <w:szCs w:val="18"/>
          <w:color w:val="auto"/>
        </w:rPr>
        <w:t>Second: In case the principal of the Outstanding Securities of such series shall not have become due and be unpaid, to the payment of interest on the Securities of such series, in the chronological order of the Maturity of the installments of such interest, with interest (to the extent that such interest has been collected by the Trustee) upon the overdue installments of interest at the rate borne by such Securities, such payments to be made ratably to the Persons entitled thereto.</w:t>
      </w:r>
    </w:p>
    <w:p>
      <w:pPr>
        <w:spacing w:after="0" w:line="214" w:lineRule="exact"/>
        <w:rPr>
          <w:sz w:val="20"/>
          <w:szCs w:val="20"/>
          <w:color w:val="auto"/>
        </w:rPr>
      </w:pPr>
    </w:p>
    <w:p>
      <w:pPr>
        <w:jc w:val="both"/>
        <w:ind w:firstLine="451"/>
        <w:spacing w:after="0" w:line="291" w:lineRule="auto"/>
        <w:rPr>
          <w:sz w:val="20"/>
          <w:szCs w:val="20"/>
          <w:color w:val="auto"/>
        </w:rPr>
      </w:pPr>
      <w:r>
        <w:rPr>
          <w:rFonts w:ascii="Arial" w:cs="Arial" w:eastAsia="Arial" w:hAnsi="Arial"/>
          <w:sz w:val="16"/>
          <w:szCs w:val="16"/>
          <w:color w:val="auto"/>
        </w:rPr>
        <w:t>Third: In case the principal of the Outstanding Securities of such series shall have become due, by declaration or otherwise, to the payment of the whole amount then owing and unpaid upon the Securities of such series for principal and premium, if any, and interest, with interest on the overdue principal and premium, if any, and (to the extent that such interest has been collected by the Trustee) upon overdue installments of interest at the rate borne by the Securities of such series, and in case such moneys shall be insufficient to pay in full the whole amounts so due and unpaid upon the Securities of such series, then to the payment of such principal and premium, if any, and interest without preference or priority of principal and premium, if any, over interest, or of interest over principal and premium, if any, or of any installment of interest over any other installment of interest, or of any Security of such series over any other Security of such series, ratably to the aggregate of such principal and premium, if any, and accrued and unpaid interest.</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surplus then remaining shall be paid to the Company or as directed by a court of competent jurisdiction.</w:t>
      </w:r>
    </w:p>
    <w:p>
      <w:pPr>
        <w:spacing w:after="0" w:line="252"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u w:val="single" w:color="auto"/>
          <w:color w:val="auto"/>
        </w:rPr>
        <w:t>Control by Securityholders; Waiver of Past Defaults</w:t>
      </w:r>
      <w:r>
        <w:rPr>
          <w:rFonts w:ascii="Arial" w:cs="Arial" w:eastAsia="Arial" w:hAnsi="Arial"/>
          <w:sz w:val="16"/>
          <w:szCs w:val="16"/>
          <w:color w:val="auto"/>
        </w:rPr>
        <w:t>. The Holders of a majority in principal amount of the Securities of any series at the time Outstanding may direct the time, method and place of conducting any proceeding for any remedy available to the Trustee hereunder, or of exercising any trust or power hereby conferred upon the Trustee with respect to the Securities of such series, provided, however, that, subject to the provisions of Sections 11.01 and 11.02, the Trustee shall have the right to decline to follow any such direction if the Trustee being advised by counsel determines that the action so directed may not lawfully be taken or would be unduly prejudicial to Holders not joining in such direction or would involve the Trustee in personal liability. Prior to any declaration accelerating the Maturity of the Securities of any series, the Holders of a majority in aggregate principal amount of such series of Securities at the time Outstanding may on behalf of the Holders of all of the Securities of such series waive any past Default or Event of Default hereunder and its consequences except a Default in the payment of interest or any premium on or the principal of the Securities of such series. Upon any such waiver the Company, the Trustee and the Holders of the Securities of such series shall be restored to their former positions and rights hereunder, respectively; but no such waiver shall extend to any subsequent or other Default or Event of Default or impair any right consequent thereon. Whenever any Default or Event of Default hereunder shall have been waived as permitted by this Section 7.06, said Default or Event of Default shall for all purposes of the Securities of such series and this Indenture be deemed to have been cured and to be not continuing.</w:t>
      </w:r>
    </w:p>
    <w:p>
      <w:pPr>
        <w:spacing w:after="0" w:line="196" w:lineRule="exact"/>
        <w:rPr>
          <w:sz w:val="20"/>
          <w:szCs w:val="20"/>
          <w:color w:val="auto"/>
        </w:rPr>
      </w:pPr>
    </w:p>
    <w:p>
      <w:pPr>
        <w:jc w:val="both"/>
        <w:ind w:firstLine="544"/>
        <w:spacing w:after="0" w:line="268"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u w:val="single" w:color="auto"/>
          <w:color w:val="auto"/>
        </w:rPr>
        <w:t>Limitation on Suits</w:t>
      </w:r>
      <w:r>
        <w:rPr>
          <w:rFonts w:ascii="Arial" w:cs="Arial" w:eastAsia="Arial" w:hAnsi="Arial"/>
          <w:sz w:val="17"/>
          <w:szCs w:val="17"/>
          <w:color w:val="auto"/>
        </w:rPr>
        <w:t>. No Holder of any Security of any series shall have any right to institute any action, suit or proceeding at law or in equity for the execution of any trust hereunder or for the appointment of a receiver or for any other remedy hereunder, in each case with respect to an Event of Default with respect to such series of Securities, unless such Holder previously shall have given to the Trustee written notice of one or more of the Events of Default herein specified with respect to such series of Securities, and unless also the Holders of 25% in principal amount of the Securities of such series then Outstanding shall have requested the Trustee in writing to take action in respect of the matter complained of, and unless also there shall have been offered to the Trustee security and indemnity satisfactory to it against the costs, expenses and liabilities to be incurred therein or thereby, and the Trustee, for 60 days after receipt of such notification, request and offer of indemnity, shall have neglected or refused to institute any such action, suit or proceeding; and such notification, request and offer of indemnity are hereby declared in every such case to be conditions precedent to any such action, suit or proceeding by any Holder of any Security of such series; it being understood and intended that no one or more of the Holders of Securities of such series shall have any right in any manner whatsoever by his, her, its or their action to enforce any right hereunder, except in the manner herein provided, and that every action, suit or proceeding at law or in equity shall be instituted, had and maintained in the manner herein provided and for the equal benefit of all Holders of the Outstanding Securities of such series; provided, however, that nothing in this Indenture or in the Securities of such series shall affect or impair the obligation of the Company, which is absolute and unconditional, to pay the principal of, premium, if any, and interest on the Securities of such series to the respective Holders of such Securities at the respective due dates in such Securities stated, or affect or impair the right, which is also absolute and unconditional, of such Holders to institute suit to enforce the payment thereof.</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5" w:name="page56"/>
    <w:bookmarkEnd w:id="55"/>
    <w:p>
      <w:pPr>
        <w:jc w:val="both"/>
        <w:ind w:firstLine="450"/>
        <w:spacing w:after="0" w:line="270" w:lineRule="auto"/>
        <w:rPr>
          <w:sz w:val="20"/>
          <w:szCs w:val="20"/>
          <w:color w:val="auto"/>
        </w:rPr>
      </w:pPr>
      <w:r>
        <w:rPr>
          <w:rFonts w:ascii="Arial" w:cs="Arial" w:eastAsia="Arial" w:hAnsi="Arial"/>
          <w:sz w:val="17"/>
          <w:szCs w:val="17"/>
          <w:color w:val="auto"/>
        </w:rPr>
        <w:t xml:space="preserve">Section 7.08 </w:t>
      </w:r>
      <w:r>
        <w:rPr>
          <w:rFonts w:ascii="Arial" w:cs="Arial" w:eastAsia="Arial" w:hAnsi="Arial"/>
          <w:sz w:val="17"/>
          <w:szCs w:val="17"/>
          <w:u w:val="single" w:color="auto"/>
          <w:color w:val="auto"/>
        </w:rPr>
        <w:t>Undertaking for Costs</w:t>
      </w:r>
      <w:r>
        <w:rPr>
          <w:rFonts w:ascii="Arial" w:cs="Arial" w:eastAsia="Arial" w:hAnsi="Arial"/>
          <w:sz w:val="17"/>
          <w:szCs w:val="17"/>
          <w:color w:val="auto"/>
        </w:rPr>
        <w:t>. All parties to this Indenture and each Holder of any Security, by such Holder’s acceptance thereof, shall be deemed to have agreed that any court may in its discretion require, in any action, suit or proceeding for the enforcement of any right or remedy under this Indenture, or in any action, suit or proceeding against the Trustee for any action taken or omitted by it as Trustee, the filing by any party litigant in such action, suit or proceeding of an undertaking to pay the costs of such action, suit or proceeding, and that such court may in its discretion assess reasonable costs, including reasonable attorneys’ fees and expenses, against any party litigant in such action, suit or proceeding, having due regard to the merits and good faith of the claims or defenses made by such party litigant; provided, however, that the provisions of this Section 7.08 shall not apply to any action, suit or proceeding instituted by the Trustee, to any action, suit or proceeding instituted by any one or more Holders of Securities holding in the aggregate more than 10% in principal amount of the Securities of any series Outstanding, or to any action, suit or proceeding instituted by any Holder of Securities of any series for the enforcement of the payment of the principal of or premium, if any, or the interest on, any of the Securities of such series, on or after the respective due dates expressed in such Securities.</w:t>
      </w:r>
    </w:p>
    <w:p>
      <w:pPr>
        <w:spacing w:after="0" w:line="205" w:lineRule="exact"/>
        <w:rPr>
          <w:sz w:val="20"/>
          <w:szCs w:val="20"/>
          <w:color w:val="auto"/>
        </w:rPr>
      </w:pPr>
    </w:p>
    <w:p>
      <w:pPr>
        <w:jc w:val="both"/>
        <w:ind w:firstLine="450"/>
        <w:spacing w:after="0" w:line="269" w:lineRule="auto"/>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u w:val="single" w:color="auto"/>
          <w:color w:val="auto"/>
        </w:rPr>
        <w:t>Remedies Cumulative</w:t>
      </w:r>
      <w:r>
        <w:rPr>
          <w:rFonts w:ascii="Arial" w:cs="Arial" w:eastAsia="Arial" w:hAnsi="Arial"/>
          <w:sz w:val="17"/>
          <w:szCs w:val="17"/>
          <w:color w:val="auto"/>
        </w:rPr>
        <w:t>. No remedy herein conferred upon or reserved to the Trustee or to the Holders of Securities of any series is intended to be exclusive of any other remedy or remedies, and each and every remedy shall be cumulative and shall be in addition to every other remedy given hereunder or now or hereafter existing at law or in equity or by statute. No delay or omission of the Trustee or of any Holder of the Securities of any series to exercise any right or power accruing upon any Default or Event of Default shall impair any such right or power or shall be construed to be a waiver of any such Default or Event of Default or an acquiescence therein; and every power and remedy given by this Article VII to the Trustee and to the Holders of Securities of any series, respectively, may be exercised from time to time and as often as may be deemed expedient by the Trustee or by the Holders of Securities of such series, as the case may be. In case the Trustee or any Holder of Securities of any series shall have proceeded to enforce any right under this Indenture and the proceedings for the enforcement thereof shall have been discontinued or abandoned because of waiver or for any other reason or shall have been adjudicated adversely to the Trustee or to such Holder of Securities, then and in every such case the Company, the Trustee and the Holders of the Securities of such series shall severally and respectively be restored to their former positions and rights hereunder, and thereafter all rights, remedies and powers of the Trustee and the Holders of the Securities of such series shall continue as though no such proceedings had been taken, except as to any matters so waived or adjudicated.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CONCERNING THE SECURITYHOLDERS</w:t>
      </w:r>
    </w:p>
    <w:p>
      <w:pPr>
        <w:spacing w:after="0" w:line="256" w:lineRule="exact"/>
        <w:rPr>
          <w:sz w:val="20"/>
          <w:szCs w:val="20"/>
          <w:color w:val="auto"/>
        </w:rPr>
      </w:pPr>
    </w:p>
    <w:p>
      <w:pPr>
        <w:jc w:val="both"/>
        <w:ind w:firstLine="450"/>
        <w:spacing w:after="0" w:line="270"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Evidence of Action of Securityholders</w:t>
      </w:r>
      <w:r>
        <w:rPr>
          <w:rFonts w:ascii="Arial" w:cs="Arial" w:eastAsia="Arial" w:hAnsi="Arial"/>
          <w:sz w:val="17"/>
          <w:szCs w:val="17"/>
          <w:color w:val="auto"/>
        </w:rPr>
        <w:t>. Whenever in this Indenture it is provided that the Holders of a specified percentage or a majority in aggregate principal amount of the Securities or of any series of Securities may take any action (including the making of any demand or request, the giving of any notice, consent or waiver or the taking of any other action), the fact that at the time of taking any such action the Holders of such specified percentage or majority have joined therein may be evidenced by: (a) any instrument or any number of instruments of similar tenor executed by Securityholders in person, by an agent or by a proxy appointed in writing, including through an electronic system for tabulating consents operated by the Depositary for such series or otherwise (such action becoming effective, except as herein otherwise expressly provided, when such instruments or evidence of electronic consents are delivered to the Trustee and, where it is hereby expressly required, to the Company); or (b) by the record of the Holders of Securities voting in favor thereof at any meeting of Securityholders duly called and held in accordance with the provisions of Article IX, or (c) by a combination of such instrument or instruments and any such record of such a meeting of Securityholders.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6" w:name="page57"/>
    <w:bookmarkEnd w:id="56"/>
    <w:p>
      <w:pPr>
        <w:ind w:firstLine="477"/>
        <w:spacing w:after="0" w:line="27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Proof of Execution or Holding of Securities</w:t>
      </w:r>
      <w:r>
        <w:rPr>
          <w:rFonts w:ascii="Arial" w:cs="Arial" w:eastAsia="Arial" w:hAnsi="Arial"/>
          <w:sz w:val="18"/>
          <w:szCs w:val="18"/>
          <w:color w:val="auto"/>
        </w:rPr>
        <w:t>. Proof of the execution of any instrument by a Securityholder or his, her or its agent or proxy and proof of the holding by any Person of any of the Securities shall be sufficient if made in the following manner:</w:t>
      </w:r>
    </w:p>
    <w:p>
      <w:pPr>
        <w:spacing w:after="0" w:line="197" w:lineRule="exact"/>
        <w:rPr>
          <w:sz w:val="20"/>
          <w:szCs w:val="20"/>
          <w:color w:val="auto"/>
        </w:rPr>
      </w:pPr>
    </w:p>
    <w:p>
      <w:pPr>
        <w:jc w:val="both"/>
        <w:ind w:firstLine="475"/>
        <w:spacing w:after="0" w:line="257" w:lineRule="auto"/>
        <w:tabs>
          <w:tab w:leader="none" w:pos="711"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fact and date of the execution by any Person of any such instrument may be proved: (i) by the certificate of any notary public or other officer in any jurisdiction who, by the laws thereof, has power to take acknowledgments or proof of deeds to be recorded within such jurisdiction, that the Person who signed such instrument did acknowledge before such notary public or other officer the execution thereof; or (ii) by the affidavit of a witness of such execution sworn to before any such notary or other officer. Where such execution is by a Person acting in other than his or her individual capacity, such certificate or affidavit shall also constitute sufficient proof of his or her authority.</w:t>
      </w:r>
    </w:p>
    <w:p>
      <w:pPr>
        <w:spacing w:after="0" w:line="215" w:lineRule="exact"/>
        <w:rPr>
          <w:rFonts w:ascii="Arial" w:cs="Arial" w:eastAsia="Arial" w:hAnsi="Arial"/>
          <w:sz w:val="18"/>
          <w:szCs w:val="18"/>
          <w:color w:val="auto"/>
        </w:rPr>
      </w:pPr>
    </w:p>
    <w:p>
      <w:pPr>
        <w:ind w:left="700" w:hanging="242"/>
        <w:spacing w:after="0"/>
        <w:tabs>
          <w:tab w:leader="none" w:pos="700"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ownership of Securities of any series shall be proved by the Register of such Securities or by a certificate of the Registrar for such series.</w:t>
      </w:r>
    </w:p>
    <w:p>
      <w:pPr>
        <w:spacing w:after="0" w:line="263" w:lineRule="exact"/>
        <w:rPr>
          <w:rFonts w:ascii="Arial" w:cs="Arial" w:eastAsia="Arial" w:hAnsi="Arial"/>
          <w:sz w:val="17"/>
          <w:szCs w:val="17"/>
          <w:color w:val="auto"/>
        </w:rPr>
      </w:pPr>
    </w:p>
    <w:p>
      <w:pPr>
        <w:ind w:left="700" w:hanging="242"/>
        <w:spacing w:after="0"/>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record of any Holders’ meeting shall be proved in the manner provided in Section 9.06.</w:t>
      </w:r>
    </w:p>
    <w:p>
      <w:pPr>
        <w:spacing w:after="0" w:line="252" w:lineRule="exact"/>
        <w:rPr>
          <w:rFonts w:ascii="Arial" w:cs="Arial" w:eastAsia="Arial" w:hAnsi="Arial"/>
          <w:sz w:val="18"/>
          <w:szCs w:val="18"/>
          <w:color w:val="auto"/>
        </w:rPr>
      </w:pPr>
    </w:p>
    <w:p>
      <w:pPr>
        <w:ind w:firstLine="484"/>
        <w:spacing w:after="0" w:line="277" w:lineRule="auto"/>
        <w:tabs>
          <w:tab w:leader="none" w:pos="730" w:val="left"/>
        </w:tabs>
        <w:numPr>
          <w:ilvl w:val="2"/>
          <w:numId w:val="95"/>
        </w:numPr>
        <w:rPr>
          <w:rFonts w:ascii="Arial" w:cs="Arial" w:eastAsia="Arial" w:hAnsi="Arial"/>
          <w:sz w:val="18"/>
          <w:szCs w:val="18"/>
          <w:color w:val="auto"/>
        </w:rPr>
      </w:pPr>
      <w:r>
        <w:rPr>
          <w:rFonts w:ascii="Arial" w:cs="Arial" w:eastAsia="Arial" w:hAnsi="Arial"/>
          <w:sz w:val="18"/>
          <w:szCs w:val="18"/>
          <w:color w:val="auto"/>
        </w:rPr>
        <w:t>The Trustee may require such additional proof of any matter referred to in this Section 8.02 as it shall deem appropriate or necessary, so long as the request is a reasonable one.</w:t>
      </w:r>
    </w:p>
    <w:p>
      <w:pPr>
        <w:spacing w:after="0" w:line="197" w:lineRule="exact"/>
        <w:rPr>
          <w:rFonts w:ascii="Arial" w:cs="Arial" w:eastAsia="Arial" w:hAnsi="Arial"/>
          <w:sz w:val="18"/>
          <w:szCs w:val="18"/>
          <w:color w:val="auto"/>
        </w:rPr>
      </w:pPr>
    </w:p>
    <w:p>
      <w:pPr>
        <w:jc w:val="both"/>
        <w:ind w:firstLine="486"/>
        <w:spacing w:after="0" w:line="273" w:lineRule="auto"/>
        <w:tabs>
          <w:tab w:leader="none" w:pos="726" w:val="left"/>
        </w:tabs>
        <w:numPr>
          <w:ilvl w:val="2"/>
          <w:numId w:val="95"/>
        </w:numPr>
        <w:rPr>
          <w:rFonts w:ascii="Arial" w:cs="Arial" w:eastAsia="Arial" w:hAnsi="Arial"/>
          <w:sz w:val="17"/>
          <w:szCs w:val="17"/>
          <w:color w:val="auto"/>
        </w:rPr>
      </w:pPr>
      <w:r>
        <w:rPr>
          <w:rFonts w:ascii="Arial" w:cs="Arial" w:eastAsia="Arial" w:hAnsi="Arial"/>
          <w:sz w:val="17"/>
          <w:szCs w:val="17"/>
          <w:color w:val="auto"/>
        </w:rPr>
        <w:t>If the Company shall solicit from the Holders of Securities of any series any action, the Company may, at its option fix in advance a record date for the determination of Holders of Securities entitled to take such action, but the Company shall have no obligation to do so. Any such record date shall be fixed at the Company’s discretion. If such a record date is fixed, such action may be sought or given before or after the record date, but only the Holders of Securities of record at the close of business on such record date shall be deemed to be Holders of Securities for the purpose of determining whether Holders of the requisite proportion of Outstanding Securities of such series have authorized or agreed or consented to such action, and for that purpose the Outstanding Securities of such series shall be computed as of such record date.</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w:t>
      </w:r>
    </w:p>
    <w:p>
      <w:pPr>
        <w:spacing w:after="0" w:line="252" w:lineRule="exact"/>
        <w:rPr>
          <w:sz w:val="20"/>
          <w:szCs w:val="20"/>
          <w:color w:val="auto"/>
        </w:rPr>
      </w:pPr>
    </w:p>
    <w:p>
      <w:pPr>
        <w:jc w:val="both"/>
        <w:ind w:firstLine="473"/>
        <w:spacing w:after="0" w:line="276" w:lineRule="auto"/>
        <w:tabs>
          <w:tab w:leader="none" w:pos="708"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Company, the Trustee and any agent of the Company or the Trustee may treat the Person in whose name any Security is registered as the owner of such Security for the purpose of receiving payment of principal of and premium, if any, and (subject to Section 3.08) interest, if any, on, such Security and for all other purposes whatsoever, whether or not such Security be overdue, and neither the Company, the Trustee nor any agent of the Company or the Trustee shall be affected by notice to the contrary. All payments made to any Holder, or upon his, her or its order, shall be valid, and, to the extent of the sum or sums paid, effectual to satisfy and discharge the liability for moneys payable upon such Security.</w:t>
      </w:r>
    </w:p>
    <w:p>
      <w:pPr>
        <w:spacing w:after="0" w:line="199" w:lineRule="exact"/>
        <w:rPr>
          <w:rFonts w:ascii="Arial" w:cs="Arial" w:eastAsia="Arial" w:hAnsi="Arial"/>
          <w:sz w:val="17"/>
          <w:szCs w:val="17"/>
          <w:color w:val="auto"/>
        </w:rPr>
      </w:pPr>
    </w:p>
    <w:p>
      <w:pPr>
        <w:jc w:val="both"/>
        <w:ind w:firstLine="504"/>
        <w:spacing w:after="0" w:line="264" w:lineRule="auto"/>
        <w:tabs>
          <w:tab w:leader="none" w:pos="756" w:val="left"/>
        </w:tabs>
        <w:numPr>
          <w:ilvl w:val="1"/>
          <w:numId w:val="96"/>
        </w:numPr>
        <w:rPr>
          <w:rFonts w:ascii="Arial" w:cs="Arial" w:eastAsia="Arial" w:hAnsi="Arial"/>
          <w:sz w:val="18"/>
          <w:szCs w:val="18"/>
          <w:color w:val="auto"/>
        </w:rPr>
      </w:pPr>
      <w:r>
        <w:rPr>
          <w:rFonts w:ascii="Arial" w:cs="Arial" w:eastAsia="Arial" w:hAnsi="Arial"/>
          <w:sz w:val="18"/>
          <w:szCs w:val="18"/>
          <w:color w:val="auto"/>
        </w:rPr>
        <w:t>None of the Company, the Trustee, any Paying Agent or the Registrar will have any responsibility or liability for any aspect of the records relating to or payments made on account of beneficial ownership interests in a Global Security or for maintaining, supervising or reviewing any records relating to such beneficial ownership interests.</w:t>
      </w:r>
    </w:p>
    <w:p>
      <w:pPr>
        <w:spacing w:after="0" w:line="208" w:lineRule="exact"/>
        <w:rPr>
          <w:sz w:val="20"/>
          <w:szCs w:val="20"/>
          <w:color w:val="auto"/>
        </w:rPr>
      </w:pPr>
    </w:p>
    <w:p>
      <w:pPr>
        <w:jc w:val="both"/>
        <w:ind w:firstLine="490"/>
        <w:spacing w:after="0" w:line="302"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Effect of Consents</w:t>
      </w:r>
      <w:r>
        <w:rPr>
          <w:rFonts w:ascii="Arial" w:cs="Arial" w:eastAsia="Arial" w:hAnsi="Arial"/>
          <w:sz w:val="16"/>
          <w:szCs w:val="16"/>
          <w:color w:val="auto"/>
        </w:rPr>
        <w:t>. After an amendment, supplement, waiver or other action becomes effective as to any series of Securities, a consent to it by a Holder of such series of Securities is a continuing consent conclusive and binding upon such Holder and every subsequent Holder of the same Securities or portion thereof, and of any Security issued upon the transfer thereof or in exchange therefor or in place thereof, even if notation of the consent is not made on any such Security. An amendment, supplement or waiver becomes effective in accordance with its terms and thereafter binds every Holder.</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ARTICLE IX</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SECURITYHOLDERS’ MEETINGS</w:t>
      </w:r>
    </w:p>
    <w:p>
      <w:pPr>
        <w:spacing w:after="0" w:line="256" w:lineRule="exact"/>
        <w:rPr>
          <w:sz w:val="20"/>
          <w:szCs w:val="20"/>
          <w:color w:val="auto"/>
        </w:rPr>
      </w:pPr>
    </w:p>
    <w:p>
      <w:pPr>
        <w:ind w:firstLine="517"/>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Purposes of Meetings</w:t>
      </w:r>
      <w:r>
        <w:rPr>
          <w:rFonts w:ascii="Arial" w:cs="Arial" w:eastAsia="Arial" w:hAnsi="Arial"/>
          <w:sz w:val="18"/>
          <w:szCs w:val="18"/>
          <w:color w:val="auto"/>
        </w:rPr>
        <w:t>. A meeting of Securityholders of any or all series may be called at any time and from time to time pursuant to the provisions of this Article IX for any of the following purposes:</w:t>
      </w:r>
    </w:p>
    <w:p>
      <w:pPr>
        <w:spacing w:after="0" w:line="197" w:lineRule="exact"/>
        <w:rPr>
          <w:sz w:val="20"/>
          <w:szCs w:val="20"/>
          <w:color w:val="auto"/>
        </w:rPr>
      </w:pPr>
    </w:p>
    <w:p>
      <w:pPr>
        <w:jc w:val="both"/>
        <w:ind w:firstLine="484"/>
        <w:spacing w:after="0" w:line="264" w:lineRule="auto"/>
        <w:tabs>
          <w:tab w:leader="none" w:pos="724" w:val="left"/>
        </w:tabs>
        <w:numPr>
          <w:ilvl w:val="1"/>
          <w:numId w:val="97"/>
        </w:numPr>
        <w:rPr>
          <w:rFonts w:ascii="Arial" w:cs="Arial" w:eastAsia="Arial" w:hAnsi="Arial"/>
          <w:sz w:val="18"/>
          <w:szCs w:val="18"/>
          <w:color w:val="auto"/>
        </w:rPr>
      </w:pPr>
      <w:r>
        <w:rPr>
          <w:rFonts w:ascii="Arial" w:cs="Arial" w:eastAsia="Arial" w:hAnsi="Arial"/>
          <w:sz w:val="18"/>
          <w:szCs w:val="18"/>
          <w:color w:val="auto"/>
        </w:rPr>
        <w:t>to give any notice to the Company or to the Trustee, or to give any directions to the Trustee, or to consent to the waiving of any Default or Event of Default hereunder and its consequences, or to take any other action authorized to be taken by Securityholders pursuant to any of the provisions of Article VIII;</w:t>
      </w:r>
    </w:p>
    <w:p>
      <w:pPr>
        <w:spacing w:after="0" w:line="208" w:lineRule="exact"/>
        <w:rPr>
          <w:rFonts w:ascii="Arial" w:cs="Arial" w:eastAsia="Arial" w:hAnsi="Arial"/>
          <w:sz w:val="18"/>
          <w:szCs w:val="18"/>
          <w:color w:val="auto"/>
        </w:rPr>
      </w:pPr>
    </w:p>
    <w:p>
      <w:pPr>
        <w:ind w:left="720" w:hanging="262"/>
        <w:spacing w:after="0"/>
        <w:tabs>
          <w:tab w:leader="none" w:pos="7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remove the Trustee and nominate a successor trustee pursuant to the provisions of Article XI;</w:t>
      </w:r>
    </w:p>
    <w:p>
      <w:pPr>
        <w:spacing w:after="0" w:line="252" w:lineRule="exact"/>
        <w:rPr>
          <w:rFonts w:ascii="Arial" w:cs="Arial" w:eastAsia="Arial" w:hAnsi="Arial"/>
          <w:sz w:val="18"/>
          <w:szCs w:val="18"/>
          <w:color w:val="auto"/>
        </w:rPr>
      </w:pPr>
    </w:p>
    <w:p>
      <w:pPr>
        <w:ind w:left="700" w:hanging="242"/>
        <w:spacing w:after="0"/>
        <w:tabs>
          <w:tab w:leader="none" w:pos="7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consent to the execution of an Indenture or of indentures supplemental hereto pursuant to the provisions of Section 14.02; or</w:t>
      </w:r>
    </w:p>
    <w:p>
      <w:pPr>
        <w:spacing w:after="0" w:line="252" w:lineRule="exact"/>
        <w:rPr>
          <w:rFonts w:ascii="Arial" w:cs="Arial" w:eastAsia="Arial" w:hAnsi="Arial"/>
          <w:sz w:val="18"/>
          <w:szCs w:val="18"/>
          <w:color w:val="auto"/>
        </w:rPr>
      </w:pPr>
    </w:p>
    <w:p>
      <w:pPr>
        <w:ind w:right="20" w:firstLine="520"/>
        <w:spacing w:after="0" w:line="277" w:lineRule="auto"/>
        <w:tabs>
          <w:tab w:leader="none" w:pos="773" w:val="left"/>
        </w:tabs>
        <w:numPr>
          <w:ilvl w:val="2"/>
          <w:numId w:val="98"/>
        </w:numPr>
        <w:rPr>
          <w:rFonts w:ascii="Arial" w:cs="Arial" w:eastAsia="Arial" w:hAnsi="Arial"/>
          <w:sz w:val="18"/>
          <w:szCs w:val="18"/>
          <w:color w:val="auto"/>
        </w:rPr>
      </w:pPr>
      <w:r>
        <w:rPr>
          <w:rFonts w:ascii="Arial" w:cs="Arial" w:eastAsia="Arial" w:hAnsi="Arial"/>
          <w:sz w:val="18"/>
          <w:szCs w:val="18"/>
          <w:color w:val="auto"/>
        </w:rPr>
        <w:t>to take any other action authorized to be taken by or on behalf of the Holders of any specified aggregate principal amount of the Securities of any one or more or all series, as the case may be, under any other provision of this Indenture or under applicable law.</w:t>
      </w:r>
    </w:p>
    <w:p>
      <w:pPr>
        <w:spacing w:after="0" w:line="197" w:lineRule="exact"/>
        <w:rPr>
          <w:sz w:val="20"/>
          <w:szCs w:val="20"/>
          <w:color w:val="auto"/>
        </w:rPr>
      </w:pPr>
    </w:p>
    <w:p>
      <w:pPr>
        <w:jc w:val="both"/>
        <w:ind w:firstLine="531"/>
        <w:spacing w:after="0" w:line="276"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Call of Meetings by Trustee</w:t>
      </w:r>
      <w:r>
        <w:rPr>
          <w:rFonts w:ascii="Arial" w:cs="Arial" w:eastAsia="Arial" w:hAnsi="Arial"/>
          <w:sz w:val="17"/>
          <w:szCs w:val="17"/>
          <w:color w:val="auto"/>
        </w:rPr>
        <w:t>. The Trustee may at any time call a meeting of all Securityholders of all series that may be affected by the action proposed to be taken, to take any action specified in Section 9.01, to be held at such time and at such place as the Trustee shall determine. Notice of every meeting of the Securityholders of a series, setting forth the time and the place of such meeting and in general terms the action proposed to be taken at such meeting, shall be mailed to Holders of Securities of such series at their addresses as they shall appear on the Register of the Company. Such notice shall be mailed not less than 20 nor more than 90 days prior to the date fixed for the meeting.</w:t>
      </w:r>
    </w:p>
    <w:p>
      <w:pPr>
        <w:spacing w:after="0" w:line="200"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Call of Meetings by Company or Securityholders</w:t>
      </w:r>
      <w:r>
        <w:rPr>
          <w:rFonts w:ascii="Arial" w:cs="Arial" w:eastAsia="Arial" w:hAnsi="Arial"/>
          <w:sz w:val="18"/>
          <w:szCs w:val="18"/>
          <w:color w:val="auto"/>
        </w:rPr>
        <w:t>. In case at any time the Company or the Holders of at least 10% in aggregate principal amount of the Securities of a series (or of all series, as the case may be) then Outstanding that may be affected by the action proposed to be taken, shall have requested the Trustee to call a meeting of Securityholders of such series (or of all series), by written request setting forth in reasonable detail the action proposed to be taken at the meeting, and the Trustee shall not have mailed the notice of such meeting within 20 days after receipt of such request, then the Company or such Securityholders may determine the time and the place for such meeting and may call such meeting to take any action authorized in Section 9.01, by mailing notice thereof as provided in Section 9.02.</w:t>
      </w:r>
    </w:p>
    <w:p>
      <w:pPr>
        <w:spacing w:after="0" w:line="220" w:lineRule="exact"/>
        <w:rPr>
          <w:sz w:val="20"/>
          <w:szCs w:val="20"/>
          <w:color w:val="auto"/>
        </w:rPr>
      </w:pPr>
    </w:p>
    <w:p>
      <w:pPr>
        <w:jc w:val="both"/>
        <w:ind w:firstLine="653"/>
        <w:spacing w:after="0" w:line="302"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Qualifications for Voting</w:t>
      </w:r>
      <w:r>
        <w:rPr>
          <w:rFonts w:ascii="Arial" w:cs="Arial" w:eastAsia="Arial" w:hAnsi="Arial"/>
          <w:sz w:val="16"/>
          <w:szCs w:val="16"/>
          <w:color w:val="auto"/>
        </w:rPr>
        <w:t>. To be entitled to vote at any meeting of Securityholders, a Person shall: (a) be a Holder of one or more Securities affected by the action proposed to be taken at the meeting; or (b) be a Person appointed by an instrument in writing as proxy by a Holder of one or more such Securities. The only Persons who shall be entitled to be present or to speak at any meeting of Securityholders shall be the Persons entitled to vote at such meeting and their counsel and any representatives of the Trustee and its counsel and any representatives of the Company and its counsel.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Regulation of Meetings</w:t>
      </w:r>
      <w:r>
        <w:rPr>
          <w:rFonts w:ascii="Arial" w:cs="Arial" w:eastAsia="Arial" w:hAnsi="Arial"/>
          <w:sz w:val="18"/>
          <w:szCs w:val="18"/>
          <w:color w:val="auto"/>
        </w:rPr>
        <w:t>.</w:t>
      </w:r>
    </w:p>
    <w:p>
      <w:pPr>
        <w:spacing w:after="0" w:line="252" w:lineRule="exact"/>
        <w:rPr>
          <w:sz w:val="20"/>
          <w:szCs w:val="20"/>
          <w:color w:val="auto"/>
        </w:rPr>
      </w:pPr>
    </w:p>
    <w:p>
      <w:pPr>
        <w:jc w:val="both"/>
        <w:ind w:firstLine="462"/>
        <w:spacing w:after="0" w:line="259" w:lineRule="auto"/>
        <w:tabs>
          <w:tab w:leader="none" w:pos="699"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Notwithstanding any other provisions of this Indenture, the Trustee may make such reasonable regulations as it may deem advisable for any meeting of Securityholders,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fit.</w:t>
      </w:r>
    </w:p>
    <w:p>
      <w:pPr>
        <w:spacing w:after="0" w:line="213" w:lineRule="exact"/>
        <w:rPr>
          <w:rFonts w:ascii="Arial" w:cs="Arial" w:eastAsia="Arial" w:hAnsi="Arial"/>
          <w:sz w:val="18"/>
          <w:szCs w:val="18"/>
          <w:color w:val="auto"/>
        </w:rPr>
      </w:pPr>
    </w:p>
    <w:p>
      <w:pPr>
        <w:jc w:val="both"/>
        <w:ind w:firstLine="613"/>
        <w:spacing w:after="0" w:line="312" w:lineRule="auto"/>
        <w:tabs>
          <w:tab w:leader="none" w:pos="872"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Trustee shall, by an instrument in writing, appoint a temporary chairman of the meeting, unless the meeting shall have been called by the Company or by Securityholders as provided in Section 9.03, in which case the Company or the Securityholders calling the meeting, as the case may be, shall in like manner appoint a temporary chair. A permanent chairman and a permanent secretary of the meeting shall be elected by majority vote of the meeting.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8" w:name="page59"/>
    <w:bookmarkEnd w:id="58"/>
    <w:p>
      <w:pPr>
        <w:jc w:val="both"/>
        <w:ind w:firstLine="565"/>
        <w:spacing w:after="0" w:line="290" w:lineRule="auto"/>
        <w:tabs>
          <w:tab w:leader="none" w:pos="80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At any meeting of Securityholders of a series, each Securityholder of such series of such Securityholder’s proxy shall be entitled to one vote for each $1,000 principal amount of Securities of such series Outstanding held or represented by him; provided, however, that no vote shall be cast or counted at any meeting in respect of any Security challenged as not Outstanding and ruled by the chairman of the meeting to be not Outstanding. The chairman of the meeting shall have no right to vote other than by virtue of Securities of such series held by him or her or instruments in writing as aforesaid duly designating him or her as the Person to vote on behalf of other Securityholders. At any meeting of the Securityholders duly called pursuant to the provisions of Section 9.02 or 9.03 the presence of Persons holding or representing Securities in an aggregate principal amount sufficient to take action upon the business for the transaction of which such meeting was called shall be necessary to constitute a quorum, and any such meeting may be adjourned from time to time by a majority of those present, whether or not constituting a quorum, and the meeting may be held as so adjourned without further notice.</w:t>
      </w:r>
    </w:p>
    <w:p>
      <w:pPr>
        <w:spacing w:after="0" w:line="193" w:lineRule="exact"/>
        <w:rPr>
          <w:sz w:val="20"/>
          <w:szCs w:val="20"/>
          <w:color w:val="auto"/>
        </w:rPr>
      </w:pPr>
    </w:p>
    <w:p>
      <w:pPr>
        <w:jc w:val="both"/>
        <w:ind w:firstLine="477"/>
        <w:spacing w:after="0" w:line="270"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Voting</w:t>
      </w:r>
      <w:r>
        <w:rPr>
          <w:rFonts w:ascii="Arial" w:cs="Arial" w:eastAsia="Arial" w:hAnsi="Arial"/>
          <w:sz w:val="17"/>
          <w:szCs w:val="17"/>
          <w:color w:val="auto"/>
        </w:rPr>
        <w:t>. The vote upon any resolution submitted to any meeting of Securityholders of a series shall be by written ballots on which shall be subscribed the signatures of the Holders of Securities of such series or of their representatives by proxy and the principal amounts of the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Securityholders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The record shall show the principal amounts of the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record so signed and verified shall be conclusive evidence of the matters therein stated.</w:t>
      </w:r>
    </w:p>
    <w:p>
      <w:pPr>
        <w:spacing w:after="0" w:line="252"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No Delay of Rights by Meeting</w:t>
      </w:r>
      <w:r>
        <w:rPr>
          <w:rFonts w:ascii="Arial" w:cs="Arial" w:eastAsia="Arial" w:hAnsi="Arial"/>
          <w:sz w:val="18"/>
          <w:szCs w:val="18"/>
          <w:color w:val="auto"/>
        </w:rPr>
        <w:t>. Nothing contained in this Article IX shall be deemed or construed to authorize or permit, by reason of any call of a meeting of Securityholders of any series or any rights expressly or impliedly conferred hereunder to make such call, any hindrance or delay in the exercise of any right or rights conferred upon or reserved to the Trustee or to the Securityholders of such series under any of the provisions of this Indenture or of the Securities of such series.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REPORTS BY THE COMPANY AND THE TRUSTEE AND SECURITYHOLDERS’ LISTS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Reports by Trustee</w:t>
      </w:r>
      <w:r>
        <w:rPr>
          <w:rFonts w:ascii="Arial" w:cs="Arial" w:eastAsia="Arial" w:hAnsi="Arial"/>
          <w:sz w:val="18"/>
          <w:szCs w:val="18"/>
          <w:color w:val="auto"/>
        </w:rPr>
        <w:t>.</w:t>
      </w:r>
    </w:p>
    <w:p>
      <w:pPr>
        <w:spacing w:after="0" w:line="252" w:lineRule="exact"/>
        <w:rPr>
          <w:sz w:val="20"/>
          <w:szCs w:val="20"/>
          <w:color w:val="auto"/>
        </w:rPr>
      </w:pPr>
    </w:p>
    <w:p>
      <w:pPr>
        <w:jc w:val="both"/>
        <w:ind w:firstLine="638"/>
        <w:spacing w:after="0" w:line="259" w:lineRule="auto"/>
        <w:tabs>
          <w:tab w:leader="none" w:pos="89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So long as any Securities are outstanding, the Trustee shall transmit to Holders such reports concerning the Trustee and its actions under this Indenture as may be required pursuant to the Trust Indenture Act at the times and in the manner provided therein. If required by Section 313(a) of the Trust Indenture Act, the Trustee shall, within 60 days after each following the date of this Indenture deliver to Holders a brief report which complies with the provisions of such Section 313(a) of the Trust Indenture Act.</w:t>
      </w:r>
    </w:p>
    <w:p>
      <w:pPr>
        <w:spacing w:after="0" w:line="213" w:lineRule="exact"/>
        <w:rPr>
          <w:rFonts w:ascii="Arial" w:cs="Arial" w:eastAsia="Arial" w:hAnsi="Arial"/>
          <w:sz w:val="18"/>
          <w:szCs w:val="18"/>
          <w:color w:val="auto"/>
        </w:rPr>
      </w:pPr>
    </w:p>
    <w:p>
      <w:pPr>
        <w:jc w:val="both"/>
        <w:ind w:firstLine="542"/>
        <w:spacing w:after="0" w:line="312" w:lineRule="auto"/>
        <w:tabs>
          <w:tab w:leader="none" w:pos="79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Trustee shall, at the time of the transmission to the Holders of Securities of any report pursuant to the provisions of this Section 10.01, file a copy of such report with each stock exchange upon which the Securities are listed, if any, and also with the SEC in respect of a Security listed and registered on a national securities exchange, if any. The Company agrees to notify the Trustee when, as and if the Securities become listed on any stock exchange.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9" w:name="page60"/>
    <w:bookmarkEnd w:id="59"/>
    <w:p>
      <w:pPr>
        <w:jc w:val="both"/>
        <w:ind w:right="20" w:firstLine="512"/>
        <w:spacing w:after="0" w:line="277" w:lineRule="auto"/>
        <w:rPr>
          <w:sz w:val="20"/>
          <w:szCs w:val="20"/>
          <w:color w:val="auto"/>
        </w:rPr>
      </w:pPr>
      <w:r>
        <w:rPr>
          <w:rFonts w:ascii="Arial" w:cs="Arial" w:eastAsia="Arial" w:hAnsi="Arial"/>
          <w:sz w:val="18"/>
          <w:szCs w:val="18"/>
          <w:color w:val="auto"/>
        </w:rPr>
        <w:t>The Company will reimburse the Trustee for all expenses incurred in the preparation and transmission of any report pursuant to the provisions of this Section 10.01 and of Section 10.02.</w:t>
      </w:r>
    </w:p>
    <w:p>
      <w:pPr>
        <w:spacing w:after="0" w:line="197" w:lineRule="exact"/>
        <w:rPr>
          <w:sz w:val="20"/>
          <w:szCs w:val="20"/>
          <w:color w:val="auto"/>
        </w:rPr>
      </w:pPr>
    </w:p>
    <w:p>
      <w:pPr>
        <w:jc w:val="both"/>
        <w:ind w:firstLine="517"/>
        <w:spacing w:after="0" w:line="291"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u w:val="single" w:color="auto"/>
          <w:color w:val="auto"/>
        </w:rPr>
        <w:t>Reports by the Company</w:t>
      </w:r>
      <w:r>
        <w:rPr>
          <w:rFonts w:ascii="Arial" w:cs="Arial" w:eastAsia="Arial" w:hAnsi="Arial"/>
          <w:sz w:val="16"/>
          <w:szCs w:val="16"/>
          <w:color w:val="auto"/>
        </w:rPr>
        <w:t>. The Company shall file with the Trustee and the SEC, and transmit to Holders, such information, documents and other reports, and such summaries thereof, as may be required pursuant to the Trust Indenture Act at the times and in the manner provided in the Trust Indenture Act; provided that, unless available on EDGAR, any such information, documents or reports required to be filed with the SEC pursuant to Section 13 or 15(d) of the Exchange Act shall be filed with the Trustee within 30 days after the same is filed with the SEC; and provided further, that the filing of the reports specified in Section 13 or 15(d) of the Exchange Act by an entity that is the direct or indirect parent of the Company will satisfy the requirements of this Section 10.02 so long as such entity is an obligor or guarantor on the Securities; and provided further that the reports of such entity will not be required to include condensed consolidating financial information for the Company in a footnote to the financial statements of such entity.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Securityholders’ Lists</w:t>
      </w:r>
      <w:r>
        <w:rPr>
          <w:rFonts w:ascii="Arial" w:cs="Arial" w:eastAsia="Arial" w:hAnsi="Arial"/>
          <w:sz w:val="18"/>
          <w:szCs w:val="18"/>
          <w:color w:val="auto"/>
        </w:rPr>
        <w:t>. The Company covenants and agrees that it will furnish or cause to be furnished to the Trustee:</w:t>
      </w:r>
    </w:p>
    <w:p>
      <w:pPr>
        <w:spacing w:after="0" w:line="252" w:lineRule="exact"/>
        <w:rPr>
          <w:sz w:val="20"/>
          <w:szCs w:val="20"/>
          <w:color w:val="auto"/>
        </w:rPr>
      </w:pPr>
    </w:p>
    <w:p>
      <w:pPr>
        <w:ind w:firstLine="469"/>
        <w:spacing w:after="0" w:line="342" w:lineRule="auto"/>
        <w:tabs>
          <w:tab w:leader="none" w:pos="70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semi-annually, within 15 days after each Record Date, but in any event not less frequently than semi-annually, a list in such form as the Trustee may reasonably require of the names and addresses of the Holders of Securities to which such Record Date applies, as of such Record Date, and</w:t>
      </w:r>
    </w:p>
    <w:p>
      <w:pPr>
        <w:spacing w:after="0" w:line="150" w:lineRule="exact"/>
        <w:rPr>
          <w:rFonts w:ascii="Arial" w:cs="Arial" w:eastAsia="Arial" w:hAnsi="Arial"/>
          <w:sz w:val="16"/>
          <w:szCs w:val="16"/>
          <w:color w:val="auto"/>
        </w:rPr>
      </w:pPr>
    </w:p>
    <w:p>
      <w:pPr>
        <w:jc w:val="both"/>
        <w:ind w:firstLine="465"/>
        <w:spacing w:after="0" w:line="264" w:lineRule="auto"/>
        <w:tabs>
          <w:tab w:leader="none" w:pos="71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receipt by the Company of any such request, a list of similar form and content as of a date not more than 15 days prior to the time such list is furnished; provided, however, that so long as the Trustee shall be the Registrar, such lists shall not be required to be furnished.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CONCERNING THE TRUSTEE</w:t>
      </w:r>
    </w:p>
    <w:p>
      <w:pPr>
        <w:spacing w:after="0" w:line="256" w:lineRule="exact"/>
        <w:rPr>
          <w:sz w:val="20"/>
          <w:szCs w:val="20"/>
          <w:color w:val="auto"/>
        </w:rPr>
      </w:pPr>
    </w:p>
    <w:p>
      <w:pPr>
        <w:ind w:firstLine="490"/>
        <w:spacing w:after="0" w:line="277"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Rights of Trustees; Compensation and Indemnity</w:t>
      </w:r>
      <w:r>
        <w:rPr>
          <w:rFonts w:ascii="Arial" w:cs="Arial" w:eastAsia="Arial" w:hAnsi="Arial"/>
          <w:sz w:val="18"/>
          <w:szCs w:val="18"/>
          <w:color w:val="auto"/>
        </w:rPr>
        <w:t>. The Trustee accepts the trusts created by this Indenture upon the terms and conditions hereof, including the following, to all of which the parties hereto and the Holders from time to time of the Securities agree:</w:t>
      </w:r>
    </w:p>
    <w:p>
      <w:pPr>
        <w:spacing w:after="0" w:line="197" w:lineRule="exact"/>
        <w:rPr>
          <w:sz w:val="20"/>
          <w:szCs w:val="20"/>
          <w:color w:val="auto"/>
        </w:rPr>
      </w:pPr>
    </w:p>
    <w:p>
      <w:pPr>
        <w:jc w:val="both"/>
        <w:ind w:firstLine="473"/>
        <w:spacing w:after="0" w:line="276" w:lineRule="auto"/>
        <w:tabs>
          <w:tab w:leader="none" w:pos="70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Trustee shall be entitled to such compensation as the Company and the Trustee shall from time to time agree in writing for all services rendered by it hereunder (including in any agent capacity in which it acts). The compensation of the Trustee shall not be limited by any provision of law in regard to the compensation of a trustee of an express trust. The Company shall reimburse the Trustee promptly upon its request for all reasonable out-of-pocket expenses, disbursements and advances incurred or made by the Trustee (including the reasonable expenses and disbursements of its agents and counsel), except any such expense, disbursement or advance as may be attributable to its negligence, bad faith or willful misconduct.</w:t>
      </w:r>
    </w:p>
    <w:p>
      <w:pPr>
        <w:spacing w:after="0" w:line="200" w:lineRule="exact"/>
        <w:rPr>
          <w:sz w:val="20"/>
          <w:szCs w:val="20"/>
          <w:color w:val="auto"/>
        </w:rPr>
      </w:pPr>
    </w:p>
    <w:p>
      <w:pPr>
        <w:jc w:val="both"/>
        <w:ind w:firstLine="470"/>
        <w:spacing w:after="0" w:line="254" w:lineRule="auto"/>
        <w:rPr>
          <w:sz w:val="20"/>
          <w:szCs w:val="20"/>
          <w:color w:val="auto"/>
        </w:rPr>
      </w:pPr>
      <w:r>
        <w:rPr>
          <w:rFonts w:ascii="Arial" w:cs="Arial" w:eastAsia="Arial" w:hAnsi="Arial"/>
          <w:sz w:val="18"/>
          <w:szCs w:val="18"/>
          <w:color w:val="auto"/>
        </w:rPr>
        <w:t>The Company also agrees to indemnify each of the Trustee and any predecessor Trustee hereunder for, and to hold it harmless against, any and all loss, liability, damage, claim, or expense incurred without its own negligence, bad faith or willful misconduct, arising out of or in connection with the acceptance or administration of the trust or trusts hereunder and the performance of its duties (including in any agent capacity in which it acts), as well as the costs and expenses of defending itself against any claim or liability in connection with the exercise or performance of any of its powers or duties hereunder, except those attributable to its negligence, willful misconduct or bad faith.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0" w:name="page61"/>
    <w:bookmarkEnd w:id="60"/>
    <w:p>
      <w:pPr>
        <w:jc w:val="both"/>
        <w:ind w:firstLine="452"/>
        <w:spacing w:after="0" w:line="273" w:lineRule="auto"/>
        <w:rPr>
          <w:sz w:val="20"/>
          <w:szCs w:val="20"/>
          <w:color w:val="auto"/>
        </w:rPr>
      </w:pPr>
      <w:r>
        <w:rPr>
          <w:rFonts w:ascii="Arial" w:cs="Arial" w:eastAsia="Arial" w:hAnsi="Arial"/>
          <w:sz w:val="17"/>
          <w:szCs w:val="17"/>
          <w:color w:val="auto"/>
        </w:rPr>
        <w:t>As security for the performance of the obligations of the Company under this Section 11.01(a), the Trustee shall have a lien upon all property and funds held or collected by the Trustee as such, except funds held in trust by the Trustee to pay principal of and interest on any Securities. Notwithstanding any provisions of this Indenture to the contrary, the obligations of the Company to compensate and indemnify the Trustee under this Section 11.01(a) shall survive the resignation or removal of the Trustee and any satisfaction and discharge under Article XII. When the Trustee incurs expenses or renders services after an Event of Default specified in clause (e) or (f) of Section 7.01 occurs, the expenses and compensation for the services are intended to constitute expenses of administration under any applicable federal or state bankruptcy, insolvency or similar laws.</w:t>
      </w:r>
    </w:p>
    <w:p>
      <w:pPr>
        <w:spacing w:after="0" w:line="205" w:lineRule="exact"/>
        <w:rPr>
          <w:sz w:val="20"/>
          <w:szCs w:val="20"/>
          <w:color w:val="auto"/>
        </w:rPr>
      </w:pPr>
    </w:p>
    <w:p>
      <w:pPr>
        <w:ind w:firstLine="507"/>
        <w:spacing w:after="0" w:line="308" w:lineRule="auto"/>
        <w:tabs>
          <w:tab w:leader="none" w:pos="755" w:val="left"/>
        </w:tabs>
        <w:numPr>
          <w:ilvl w:val="1"/>
          <w:numId w:val="105"/>
        </w:numPr>
        <w:rPr>
          <w:rFonts w:ascii="Arial" w:cs="Arial" w:eastAsia="Arial" w:hAnsi="Arial"/>
          <w:sz w:val="17"/>
          <w:szCs w:val="17"/>
          <w:color w:val="auto"/>
        </w:rPr>
      </w:pPr>
      <w:r>
        <w:rPr>
          <w:rFonts w:ascii="Arial" w:cs="Arial" w:eastAsia="Arial" w:hAnsi="Arial"/>
          <w:sz w:val="17"/>
          <w:szCs w:val="17"/>
          <w:color w:val="auto"/>
        </w:rPr>
        <w:t>The Trustee may execute any of the trusts or powers hereof and perform any duty hereunder either directly or by its agents and attorneys and shall not be responsible for any misconduct or negligence on the part of any agent or attorney appointed with due care by it hereunder.</w:t>
      </w:r>
    </w:p>
    <w:p>
      <w:pPr>
        <w:spacing w:after="0" w:line="173" w:lineRule="exact"/>
        <w:rPr>
          <w:rFonts w:ascii="Arial" w:cs="Arial" w:eastAsia="Arial" w:hAnsi="Arial"/>
          <w:sz w:val="17"/>
          <w:szCs w:val="17"/>
          <w:color w:val="auto"/>
        </w:rPr>
      </w:pPr>
    </w:p>
    <w:p>
      <w:pPr>
        <w:jc w:val="both"/>
        <w:ind w:firstLine="477"/>
        <w:spacing w:after="0" w:line="254" w:lineRule="auto"/>
        <w:tabs>
          <w:tab w:leader="none" w:pos="71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Trustee shall not be responsible in any manner whatsoever for the correctness of the recitals herein or in the Securities (except its certificates of authentication thereon) contained, all of which are made solely by the Company; and the Trustee shall not be responsible or accountable in any manner whatsoever for or with respect to the validity or execution or sufficiency of this Indenture or of the Securities (except its certificates of authentication thereon), and the Trustee makes no representation with respect thereto,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The Trustee shall not be accountable for the use or application by the Company of any Securities, or the proceeds of any Securities, authenticated and delivered by the Trustee in conformity with the provisions of this Indenture.</w:t>
      </w:r>
    </w:p>
    <w:p>
      <w:pPr>
        <w:spacing w:after="0" w:line="219" w:lineRule="exact"/>
        <w:rPr>
          <w:rFonts w:ascii="Arial" w:cs="Arial" w:eastAsia="Arial" w:hAnsi="Arial"/>
          <w:sz w:val="18"/>
          <w:szCs w:val="18"/>
          <w:color w:val="auto"/>
        </w:rPr>
      </w:pPr>
    </w:p>
    <w:p>
      <w:pPr>
        <w:jc w:val="both"/>
        <w:ind w:firstLine="612"/>
        <w:spacing w:after="0" w:line="264" w:lineRule="auto"/>
        <w:tabs>
          <w:tab w:leader="none" w:pos="871" w:val="left"/>
        </w:tabs>
        <w:numPr>
          <w:ilvl w:val="5"/>
          <w:numId w:val="106"/>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to the extent permitted by Section 11.02, any Opinion of Counsel shall be full and complete authorization and protection in respect of any action taken or suffered by the Trustee hereunder in good faith and in accordance with such Opinion of Counsel.</w:t>
      </w:r>
    </w:p>
    <w:p>
      <w:pPr>
        <w:spacing w:after="0" w:line="208" w:lineRule="exact"/>
        <w:rPr>
          <w:rFonts w:ascii="Arial" w:cs="Arial" w:eastAsia="Arial" w:hAnsi="Arial"/>
          <w:sz w:val="18"/>
          <w:szCs w:val="18"/>
          <w:color w:val="auto"/>
        </w:rPr>
      </w:pPr>
    </w:p>
    <w:p>
      <w:pPr>
        <w:jc w:val="both"/>
        <w:ind w:firstLine="624"/>
        <w:spacing w:after="0" w:line="257" w:lineRule="auto"/>
        <w:tabs>
          <w:tab w:leader="none" w:pos="874" w:val="left"/>
        </w:tabs>
        <w:numPr>
          <w:ilvl w:val="5"/>
          <w:numId w:val="106"/>
        </w:numPr>
        <w:rPr>
          <w:rFonts w:ascii="Arial" w:cs="Arial" w:eastAsia="Arial" w:hAnsi="Arial"/>
          <w:sz w:val="18"/>
          <w:szCs w:val="18"/>
          <w:color w:val="auto"/>
        </w:rPr>
      </w:pPr>
      <w:r>
        <w:rPr>
          <w:rFonts w:ascii="Arial" w:cs="Arial" w:eastAsia="Arial" w:hAnsi="Arial"/>
          <w:sz w:val="18"/>
          <w:szCs w:val="18"/>
          <w:color w:val="auto"/>
        </w:rPr>
        <w:t>The Trustee, to the extent permitted by Section 11.02, may rely upon the certificate of the Secretary or one of the Assistant Secretaries of the Company as to the adoption of any Board Resolution or resolution of the stockholders of the Company, and any request, direction, order or demand of the Company mentioned herein shall be sufficiently evidenced by, and whenever in the administration of this Indenture the Trustee shall deem it desirable that a matter be proved or established prior to taking, suffering or omitting any action hereunder, the Trustee may rely upon, an Officer’s Certificate of the Company (unless other evidence in respect thereof be herein specifically prescribed).</w:t>
      </w:r>
    </w:p>
    <w:p>
      <w:pPr>
        <w:spacing w:after="0" w:line="215" w:lineRule="exact"/>
        <w:rPr>
          <w:rFonts w:ascii="Arial" w:cs="Arial" w:eastAsia="Arial" w:hAnsi="Arial"/>
          <w:sz w:val="18"/>
          <w:szCs w:val="18"/>
          <w:color w:val="auto"/>
        </w:rPr>
      </w:pPr>
    </w:p>
    <w:p>
      <w:pPr>
        <w:jc w:val="both"/>
        <w:ind w:firstLine="623"/>
        <w:spacing w:after="0" w:line="264" w:lineRule="auto"/>
        <w:tabs>
          <w:tab w:leader="none" w:pos="856" w:val="left"/>
        </w:tabs>
        <w:numPr>
          <w:ilvl w:val="4"/>
          <w:numId w:val="106"/>
        </w:numPr>
        <w:rPr>
          <w:rFonts w:ascii="Arial" w:cs="Arial" w:eastAsia="Arial" w:hAnsi="Arial"/>
          <w:sz w:val="18"/>
          <w:szCs w:val="18"/>
          <w:color w:val="auto"/>
        </w:rPr>
      </w:pPr>
      <w:r>
        <w:rPr>
          <w:rFonts w:ascii="Arial" w:cs="Arial" w:eastAsia="Arial" w:hAnsi="Arial"/>
          <w:sz w:val="18"/>
          <w:szCs w:val="18"/>
          <w:color w:val="auto"/>
        </w:rPr>
        <w:t>Subject to Section 11.04, the Trustee or any agent of the Trustee, in its individual or any other capacity, may become the owner or pledgee of Securities and, subject to Sections 310(b) and 311 of the Trust Indenture Act, may otherwise deal with the Company with the same rights it would have had if it were not the Trustee or such agent.</w:t>
      </w:r>
    </w:p>
    <w:p>
      <w:pPr>
        <w:spacing w:after="0" w:line="208" w:lineRule="exact"/>
        <w:rPr>
          <w:rFonts w:ascii="Arial" w:cs="Arial" w:eastAsia="Arial" w:hAnsi="Arial"/>
          <w:sz w:val="18"/>
          <w:szCs w:val="18"/>
          <w:color w:val="auto"/>
        </w:rPr>
      </w:pPr>
    </w:p>
    <w:p>
      <w:pPr>
        <w:ind w:firstLine="556"/>
        <w:spacing w:after="0" w:line="277" w:lineRule="auto"/>
        <w:tabs>
          <w:tab w:leader="none" w:pos="812" w:val="left"/>
        </w:tabs>
        <w:numPr>
          <w:ilvl w:val="3"/>
          <w:numId w:val="106"/>
        </w:numPr>
        <w:rPr>
          <w:rFonts w:ascii="Arial" w:cs="Arial" w:eastAsia="Arial" w:hAnsi="Arial"/>
          <w:sz w:val="18"/>
          <w:szCs w:val="18"/>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97" w:lineRule="exact"/>
        <w:rPr>
          <w:rFonts w:ascii="Arial" w:cs="Arial" w:eastAsia="Arial" w:hAnsi="Arial"/>
          <w:sz w:val="18"/>
          <w:szCs w:val="18"/>
          <w:color w:val="auto"/>
        </w:rPr>
      </w:pPr>
    </w:p>
    <w:p>
      <w:pPr>
        <w:jc w:val="both"/>
        <w:ind w:firstLine="520"/>
        <w:spacing w:after="0" w:line="312" w:lineRule="auto"/>
        <w:tabs>
          <w:tab w:leader="none" w:pos="764" w:val="left"/>
        </w:tabs>
        <w:numPr>
          <w:ilvl w:val="2"/>
          <w:numId w:val="106"/>
        </w:numPr>
        <w:rPr>
          <w:rFonts w:ascii="Arial" w:cs="Arial" w:eastAsia="Arial" w:hAnsi="Arial"/>
          <w:sz w:val="16"/>
          <w:szCs w:val="16"/>
          <w:color w:val="auto"/>
        </w:rPr>
      </w:pPr>
      <w:r>
        <w:rPr>
          <w:rFonts w:ascii="Arial" w:cs="Arial" w:eastAsia="Arial" w:hAnsi="Arial"/>
          <w:sz w:val="16"/>
          <w:szCs w:val="16"/>
          <w:color w:val="auto"/>
        </w:rPr>
        <w:t>Any action taken by the Trustee pursuant to any provision hereof at the request or with the consent of any Person who at the time is the Holder of any Security shall be conclusive and binding in respect of such Security upon all future Holders thereof or of any Security or Securities which may be issued for or in lieu thereof in whole or in part, whether or not such Security shall have noted thereon the fact that such request or consent had been made or given.</w:t>
      </w:r>
    </w:p>
    <w:p>
      <w:pPr>
        <w:spacing w:after="0" w:line="173" w:lineRule="exact"/>
        <w:rPr>
          <w:rFonts w:ascii="Arial" w:cs="Arial" w:eastAsia="Arial" w:hAnsi="Arial"/>
          <w:sz w:val="16"/>
          <w:szCs w:val="16"/>
          <w:color w:val="auto"/>
        </w:rPr>
      </w:pPr>
    </w:p>
    <w:p>
      <w:pPr>
        <w:jc w:val="both"/>
        <w:ind w:firstLine="569"/>
        <w:spacing w:after="0" w:line="264" w:lineRule="auto"/>
        <w:tabs>
          <w:tab w:leader="none" w:pos="787" w:val="left"/>
        </w:tabs>
        <w:numPr>
          <w:ilvl w:val="2"/>
          <w:numId w:val="106"/>
        </w:numPr>
        <w:rPr>
          <w:rFonts w:ascii="Arial" w:cs="Arial" w:eastAsia="Arial" w:hAnsi="Arial"/>
          <w:sz w:val="18"/>
          <w:szCs w:val="18"/>
          <w:color w:val="auto"/>
        </w:rPr>
      </w:pPr>
      <w:r>
        <w:rPr>
          <w:rFonts w:ascii="Arial" w:cs="Arial" w:eastAsia="Arial" w:hAnsi="Arial"/>
          <w:sz w:val="18"/>
          <w:szCs w:val="18"/>
          <w:color w:val="auto"/>
        </w:rPr>
        <w:t>Subject to the provisions of Section 11.02, the Trustee may conclusively rely and shall be protected in acting or refraining from acting upon any resolution, certificate, statement, instrument, opinion, report, notice, request, consent, order, approval, bond, debenture or other paper or document believed by it to be genuine and to have been signed or presented by the proper party or parties.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1" w:name="page62"/>
    <w:bookmarkEnd w:id="61"/>
    <w:p>
      <w:pPr>
        <w:jc w:val="both"/>
        <w:ind w:firstLine="529"/>
        <w:spacing w:after="0" w:line="259" w:lineRule="auto"/>
        <w:tabs>
          <w:tab w:leader="none" w:pos="74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Subject to the provisions of Section 11.02, the Trustee shall not be under any obligation to exercise any of the rights or powers vested in it by this Indenture at the request, order or direction of any of the Holders of the Securities, pursuant to any provision of this Indenture, unless one or more of the Holders of the Securities shall have offered to the Trustee security or indemnity satisfactory to it against the costs, expenses and liabilities which may be incurred by it therein or thereby.</w:t>
      </w:r>
    </w:p>
    <w:p>
      <w:pPr>
        <w:spacing w:after="0" w:line="213" w:lineRule="exact"/>
        <w:rPr>
          <w:rFonts w:ascii="Arial" w:cs="Arial" w:eastAsia="Arial" w:hAnsi="Arial"/>
          <w:sz w:val="18"/>
          <w:szCs w:val="18"/>
          <w:color w:val="auto"/>
        </w:rPr>
      </w:pPr>
    </w:p>
    <w:p>
      <w:pPr>
        <w:ind w:firstLine="495"/>
        <w:spacing w:after="0" w:line="277" w:lineRule="auto"/>
        <w:tabs>
          <w:tab w:leader="none" w:pos="74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Subject to the provisions of Section 11.02, the Trustee shall not be liable for any action taken or omitted by it in good faith and believed by it to be authorized or within its discretion or within the rights or powers conferred upon it by this Indenture.</w:t>
      </w:r>
    </w:p>
    <w:p>
      <w:pPr>
        <w:spacing w:after="0" w:line="197" w:lineRule="exact"/>
        <w:rPr>
          <w:rFonts w:ascii="Arial" w:cs="Arial" w:eastAsia="Arial" w:hAnsi="Arial"/>
          <w:sz w:val="18"/>
          <w:szCs w:val="18"/>
          <w:color w:val="auto"/>
        </w:rPr>
      </w:pPr>
    </w:p>
    <w:p>
      <w:pPr>
        <w:jc w:val="both"/>
        <w:ind w:firstLine="495"/>
        <w:spacing w:after="0" w:line="264" w:lineRule="auto"/>
        <w:tabs>
          <w:tab w:leader="none" w:pos="7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Subject to the provisions of Section 11.02, the Trustee shall not be deemed to have knowledge or notice of any Default or Event of Default unless a Responsible Officer of the Trustee has actual knowledge thereof or unless the Holders of not less than 25% of the Outstanding Securities notify the Trustee thereof.</w:t>
      </w:r>
    </w:p>
    <w:p>
      <w:pPr>
        <w:spacing w:after="0" w:line="208" w:lineRule="exact"/>
        <w:rPr>
          <w:rFonts w:ascii="Arial" w:cs="Arial" w:eastAsia="Arial" w:hAnsi="Arial"/>
          <w:sz w:val="18"/>
          <w:szCs w:val="18"/>
          <w:color w:val="auto"/>
        </w:rPr>
      </w:pPr>
    </w:p>
    <w:p>
      <w:pPr>
        <w:jc w:val="both"/>
        <w:ind w:firstLine="511"/>
        <w:spacing w:after="0" w:line="259" w:lineRule="auto"/>
        <w:tabs>
          <w:tab w:leader="none" w:pos="813" w:val="left"/>
        </w:tabs>
        <w:numPr>
          <w:ilvl w:val="2"/>
          <w:numId w:val="108"/>
        </w:numPr>
        <w:rPr>
          <w:rFonts w:ascii="Arial" w:cs="Arial" w:eastAsia="Arial" w:hAnsi="Arial"/>
          <w:sz w:val="18"/>
          <w:szCs w:val="18"/>
          <w:color w:val="auto"/>
        </w:rPr>
      </w:pPr>
      <w:r>
        <w:rPr>
          <w:rFonts w:ascii="Arial" w:cs="Arial" w:eastAsia="Arial" w:hAnsi="Arial"/>
          <w:sz w:val="18"/>
          <w:szCs w:val="18"/>
          <w:color w:val="auto"/>
        </w:rPr>
        <w:t>Subject to the provisions of the first paragraph of Section 11.02,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may, but shall not be required to, make further inquiry or investigation into such facts or matters as it may see fit.</w:t>
      </w:r>
    </w:p>
    <w:p>
      <w:pPr>
        <w:spacing w:after="0" w:line="213" w:lineRule="exact"/>
        <w:rPr>
          <w:rFonts w:ascii="Arial" w:cs="Arial" w:eastAsia="Arial" w:hAnsi="Arial"/>
          <w:sz w:val="18"/>
          <w:szCs w:val="18"/>
          <w:color w:val="auto"/>
        </w:rPr>
      </w:pPr>
    </w:p>
    <w:p>
      <w:pPr>
        <w:ind w:firstLine="647"/>
        <w:spacing w:after="0" w:line="277" w:lineRule="auto"/>
        <w:tabs>
          <w:tab w:leader="none" w:pos="910" w:val="left"/>
        </w:tabs>
        <w:numPr>
          <w:ilvl w:val="3"/>
          <w:numId w:val="108"/>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252" w:lineRule="exact"/>
        <w:rPr>
          <w:sz w:val="20"/>
          <w:szCs w:val="20"/>
          <w:color w:val="auto"/>
        </w:rPr>
      </w:pPr>
    </w:p>
    <w:p>
      <w:pPr>
        <w:jc w:val="both"/>
        <w:ind w:firstLine="531"/>
        <w:spacing w:after="0" w:line="312" w:lineRule="auto"/>
        <w:tabs>
          <w:tab w:leader="none" w:pos="77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If one or more of the Events of Default specified in Section 7.01 with respect to the Securities of any series shall have happened, then, during the continuance thereof, the Trustee shall, with respect to such Securities, exercise such of the rights and powers vested in it by this Indenture, and shall use the same degree of care and skill in their exercise, as a prudent person would exercise or use under the circumstances in the conduct of such person’s own affairs.</w:t>
      </w:r>
    </w:p>
    <w:p>
      <w:pPr>
        <w:spacing w:after="0" w:line="173" w:lineRule="exact"/>
        <w:rPr>
          <w:rFonts w:ascii="Arial" w:cs="Arial" w:eastAsia="Arial" w:hAnsi="Arial"/>
          <w:sz w:val="16"/>
          <w:szCs w:val="16"/>
          <w:color w:val="auto"/>
        </w:rPr>
      </w:pPr>
    </w:p>
    <w:p>
      <w:pPr>
        <w:ind w:firstLine="577"/>
        <w:spacing w:after="0" w:line="308" w:lineRule="auto"/>
        <w:tabs>
          <w:tab w:leader="none" w:pos="836" w:val="left"/>
        </w:tabs>
        <w:numPr>
          <w:ilvl w:val="1"/>
          <w:numId w:val="109"/>
        </w:numPr>
        <w:rPr>
          <w:rFonts w:ascii="Arial" w:cs="Arial" w:eastAsia="Arial" w:hAnsi="Arial"/>
          <w:sz w:val="17"/>
          <w:szCs w:val="17"/>
          <w:color w:val="auto"/>
        </w:rPr>
      </w:pPr>
      <w:r>
        <w:rPr>
          <w:rFonts w:ascii="Arial" w:cs="Arial" w:eastAsia="Arial" w:hAnsi="Arial"/>
          <w:sz w:val="17"/>
          <w:szCs w:val="17"/>
          <w:color w:val="auto"/>
        </w:rPr>
        <w:t>None of the provisions of this Indenture shall be construed as relieving the Trustee from liability for its own negligent action, its own negligent action, negligent failure to act, or its own willful misconduct, except that, anything in this Indenture contained to the contrary notwithstanding:</w:t>
      </w:r>
    </w:p>
    <w:p>
      <w:pPr>
        <w:spacing w:after="0" w:line="173" w:lineRule="exact"/>
        <w:rPr>
          <w:rFonts w:ascii="Arial" w:cs="Arial" w:eastAsia="Arial" w:hAnsi="Arial"/>
          <w:sz w:val="17"/>
          <w:szCs w:val="17"/>
          <w:color w:val="auto"/>
        </w:rPr>
      </w:pPr>
    </w:p>
    <w:p>
      <w:pPr>
        <w:ind w:left="1120" w:hanging="212"/>
        <w:spacing w:after="0"/>
        <w:tabs>
          <w:tab w:leader="none" w:pos="1120" w:val="left"/>
        </w:tabs>
        <w:numPr>
          <w:ilvl w:val="2"/>
          <w:numId w:val="109"/>
        </w:numPr>
        <w:rPr>
          <w:rFonts w:ascii="Arial" w:cs="Arial" w:eastAsia="Arial" w:hAnsi="Arial"/>
          <w:sz w:val="16"/>
          <w:szCs w:val="16"/>
          <w:color w:val="auto"/>
        </w:rPr>
      </w:pPr>
      <w:r>
        <w:rPr>
          <w:rFonts w:ascii="Arial" w:cs="Arial" w:eastAsia="Arial" w:hAnsi="Arial"/>
          <w:sz w:val="16"/>
          <w:szCs w:val="16"/>
          <w:color w:val="auto"/>
        </w:rPr>
        <w:t>unless and until an Event of Default specified in Section 7.01 with respect to the Securities of any series shall have happened which at the time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 continuing:</w:t>
      </w:r>
    </w:p>
    <w:p>
      <w:pPr>
        <w:spacing w:after="0" w:line="237" w:lineRule="exact"/>
        <w:rPr>
          <w:rFonts w:ascii="Arial" w:cs="Arial" w:eastAsia="Arial" w:hAnsi="Arial"/>
          <w:sz w:val="16"/>
          <w:szCs w:val="16"/>
          <w:color w:val="auto"/>
        </w:rPr>
      </w:pPr>
    </w:p>
    <w:p>
      <w:pPr>
        <w:jc w:val="both"/>
        <w:ind w:firstLine="1366"/>
        <w:spacing w:after="0" w:line="264" w:lineRule="auto"/>
        <w:tabs>
          <w:tab w:leader="none" w:pos="1653" w:val="left"/>
        </w:tabs>
        <w:numPr>
          <w:ilvl w:val="4"/>
          <w:numId w:val="109"/>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with respect to the Securities of that series as are specifically set out in this Indenture, and no implied covenants or obligations shall be read into this Indenture against the Trustee, whose duties and obligations shall be determined solely by the express provisions of this Indenture; and</w:t>
      </w:r>
    </w:p>
    <w:p>
      <w:pPr>
        <w:spacing w:after="0" w:line="208" w:lineRule="exact"/>
        <w:rPr>
          <w:rFonts w:ascii="Arial" w:cs="Arial" w:eastAsia="Arial" w:hAnsi="Arial"/>
          <w:sz w:val="18"/>
          <w:szCs w:val="18"/>
          <w:color w:val="auto"/>
        </w:rPr>
      </w:pPr>
    </w:p>
    <w:p>
      <w:pPr>
        <w:jc w:val="both"/>
        <w:ind w:firstLine="1389"/>
        <w:spacing w:after="0" w:line="276" w:lineRule="auto"/>
        <w:tabs>
          <w:tab w:leader="none" w:pos="1667" w:val="left"/>
        </w:tabs>
        <w:numPr>
          <w:ilvl w:val="5"/>
          <w:numId w:val="109"/>
        </w:numPr>
        <w:rPr>
          <w:rFonts w:ascii="Arial" w:cs="Arial" w:eastAsia="Arial" w:hAnsi="Arial"/>
          <w:sz w:val="17"/>
          <w:szCs w:val="17"/>
          <w:color w:val="auto"/>
        </w:rPr>
      </w:pPr>
      <w:r>
        <w:rPr>
          <w:rFonts w:ascii="Arial" w:cs="Arial" w:eastAsia="Arial" w:hAnsi="Arial"/>
          <w:sz w:val="17"/>
          <w:szCs w:val="17"/>
          <w:color w:val="auto"/>
        </w:rPr>
        <w:t>the Trustee may conclusively rely, as to the truth of the statements and the correctness of the opinions expressed therein, in the absence of bad faith on the part of the Trustee, upon certificates and opinions furnished to it pursuant to the express provisions of this Indenture; but in the case of any such certificates or opinions which, by the provisions of this Indenture,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w:t>
      </w:r>
    </w:p>
    <w:p>
      <w:pPr>
        <w:spacing w:after="0" w:line="199" w:lineRule="exact"/>
        <w:rPr>
          <w:rFonts w:ascii="Arial" w:cs="Arial" w:eastAsia="Arial" w:hAnsi="Arial"/>
          <w:sz w:val="17"/>
          <w:szCs w:val="17"/>
          <w:color w:val="auto"/>
        </w:rPr>
      </w:pPr>
    </w:p>
    <w:p>
      <w:pPr>
        <w:ind w:firstLine="1282"/>
        <w:spacing w:after="0" w:line="308" w:lineRule="auto"/>
        <w:tabs>
          <w:tab w:leader="none" w:pos="1557" w:val="left"/>
        </w:tabs>
        <w:numPr>
          <w:ilvl w:val="3"/>
          <w:numId w:val="109"/>
        </w:numPr>
        <w:rPr>
          <w:rFonts w:ascii="Arial" w:cs="Arial" w:eastAsia="Arial" w:hAnsi="Arial"/>
          <w:sz w:val="17"/>
          <w:szCs w:val="17"/>
          <w:color w:val="auto"/>
        </w:rPr>
      </w:pPr>
      <w:r>
        <w:rPr>
          <w:rFonts w:ascii="Arial" w:cs="Arial" w:eastAsia="Arial" w:hAnsi="Arial"/>
          <w:sz w:val="17"/>
          <w:szCs w:val="17"/>
          <w:color w:val="auto"/>
        </w:rPr>
        <w:t>the Trustee shall not be liable to any Holder of Securities or to any other Person for any error of judgment made in good faith by a Responsible Officer or Officers of the Trustee, unless it shall be proved that the Trustee was negligent in ascertaining the pertinent facts; and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2" w:name="page63"/>
    <w:bookmarkEnd w:id="62"/>
    <w:p>
      <w:pPr>
        <w:jc w:val="both"/>
        <w:ind w:firstLine="963"/>
        <w:spacing w:after="0" w:line="264" w:lineRule="auto"/>
        <w:tabs>
          <w:tab w:leader="none" w:pos="1273" w:val="left"/>
        </w:tabs>
        <w:numPr>
          <w:ilvl w:val="2"/>
          <w:numId w:val="110"/>
        </w:numPr>
        <w:rPr>
          <w:rFonts w:ascii="Arial" w:cs="Arial" w:eastAsia="Arial" w:hAnsi="Arial"/>
          <w:sz w:val="18"/>
          <w:szCs w:val="18"/>
          <w:color w:val="auto"/>
        </w:rPr>
      </w:pPr>
      <w:r>
        <w:rPr>
          <w:rFonts w:ascii="Arial" w:cs="Arial" w:eastAsia="Arial" w:hAnsi="Arial"/>
          <w:sz w:val="18"/>
          <w:szCs w:val="18"/>
          <w:color w:val="auto"/>
        </w:rPr>
        <w:t>the Trustee shall not be liable to any Holder of Securities or to any other Person with respect to any action taken or omitted to be taken by it in good faith, in accordance with the direction of Securityholders given as provided in Section 7.06, relating to the time, method and place of conducting any proceeding for any remedy available to it or exercising any trust or power conferred upon it by this Indenture.</w:t>
      </w:r>
    </w:p>
    <w:p>
      <w:pPr>
        <w:spacing w:after="0" w:line="208" w:lineRule="exact"/>
        <w:rPr>
          <w:rFonts w:ascii="Arial" w:cs="Arial" w:eastAsia="Arial" w:hAnsi="Arial"/>
          <w:sz w:val="18"/>
          <w:szCs w:val="18"/>
          <w:color w:val="auto"/>
        </w:rPr>
      </w:pPr>
    </w:p>
    <w:p>
      <w:pPr>
        <w:jc w:val="both"/>
        <w:ind w:firstLine="513"/>
        <w:spacing w:after="0" w:line="264" w:lineRule="auto"/>
        <w:tabs>
          <w:tab w:leader="none" w:pos="7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None of the provisions of this Indenture shall require the Trustee to expend or risk its own funds or otherwise to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208" w:lineRule="exact"/>
        <w:rPr>
          <w:rFonts w:ascii="Arial" w:cs="Arial" w:eastAsia="Arial" w:hAnsi="Arial"/>
          <w:sz w:val="18"/>
          <w:szCs w:val="18"/>
          <w:color w:val="auto"/>
        </w:rPr>
      </w:pPr>
    </w:p>
    <w:p>
      <w:pPr>
        <w:ind w:firstLine="609"/>
        <w:spacing w:after="0" w:line="277" w:lineRule="auto"/>
        <w:tabs>
          <w:tab w:leader="none" w:pos="86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 11.02.</w:t>
      </w:r>
    </w:p>
    <w:p>
      <w:pPr>
        <w:spacing w:after="0" w:line="197" w:lineRule="exact"/>
        <w:rPr>
          <w:sz w:val="20"/>
          <w:szCs w:val="20"/>
          <w:color w:val="auto"/>
        </w:rPr>
      </w:pPr>
    </w:p>
    <w:p>
      <w:pPr>
        <w:jc w:val="both"/>
        <w:ind w:firstLine="490"/>
        <w:spacing w:after="0" w:line="290"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u w:val="single" w:color="auto"/>
          <w:color w:val="auto"/>
        </w:rPr>
        <w:t>Notice of Defaults</w:t>
      </w:r>
      <w:r>
        <w:rPr>
          <w:rFonts w:ascii="Arial" w:cs="Arial" w:eastAsia="Arial" w:hAnsi="Arial"/>
          <w:sz w:val="16"/>
          <w:szCs w:val="16"/>
          <w:color w:val="auto"/>
        </w:rPr>
        <w:t>. Within 90 days after the occurrence thereof, and if known to the Trustee, the Trustee shall give to the Holders of the Securities of a series notice of each Default or Event of Default with respect to the Securities of such series known to the Trustee, by transmitting such notice to Holders at their addresses as the same shall then appear on the Register of the Company, unless such Default shall have been cured or waived before the giving of such notice (the term “Default” being hereby defined to be the events specified in Section 7.01, which are, or after notice or lapse of time or both would become, Events of Default as defined in said Section). Except in the case of a Default or Event of Default in payment of the principal of, premium, if any, or interest on any of the Securities of such series when and as the same shall become payable, or to make any sinking fund payment as to Securities of the same series, the Trustee shall be protected in withholding such notice, if and so long as a Responsible Officer or Responsible Officers of the Trustee in good faith determines that the withholding of such notice is in the interests of the Holders of the Securities of such series.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w:t>
      </w:r>
    </w:p>
    <w:p>
      <w:pPr>
        <w:spacing w:after="0" w:line="252" w:lineRule="exact"/>
        <w:rPr>
          <w:sz w:val="20"/>
          <w:szCs w:val="20"/>
          <w:color w:val="auto"/>
        </w:rPr>
      </w:pPr>
    </w:p>
    <w:p>
      <w:pPr>
        <w:jc w:val="both"/>
        <w:ind w:firstLine="537"/>
        <w:spacing w:after="0" w:line="259" w:lineRule="auto"/>
        <w:tabs>
          <w:tab w:leader="none" w:pos="779"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Trustee shall at all times satisfy the requirements of Section 310(a) under the Trust Indenture Act. The Trustee shall have a combined capital and surplus of at least $50 million as set forth in its most recent published annual report of condition, and shall have a Corporate Trust Office. If at any time the Trustee shall cease to be eligible in accordance with the provisions of this Section 11.04, it shall resign immediately in the manner and with the effect hereinafter specified in this Article.</w:t>
      </w:r>
    </w:p>
    <w:p>
      <w:pPr>
        <w:spacing w:after="0" w:line="213" w:lineRule="exact"/>
        <w:rPr>
          <w:rFonts w:ascii="Arial" w:cs="Arial" w:eastAsia="Arial" w:hAnsi="Arial"/>
          <w:sz w:val="18"/>
          <w:szCs w:val="18"/>
          <w:color w:val="auto"/>
        </w:rPr>
      </w:pPr>
    </w:p>
    <w:p>
      <w:pPr>
        <w:jc w:val="both"/>
        <w:ind w:firstLine="503"/>
        <w:spacing w:after="0" w:line="254" w:lineRule="auto"/>
        <w:tabs>
          <w:tab w:leader="none" w:pos="75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Trustee shall comply with Section 310(b) under the Trust Indenture Act; provided, however, that there shall be excluded from the operation of Section 310(b)(i) under the Trust Indenture Act any indenture or indentures under which other securities or certificates of interest or participation in other securities of the Company are outstanding if the requirements for such exclusion set forth in Section 310(b)(i) under the Trust Indenture Act are met. If the Trustee has or shall acquire a conflicting interest within the meaning of Section 310(b) of the Trust Indenture Act, the Trustee shall either eliminate such interest or resign, to the extent and in the manner provided by, and subject to the provisions of, the Trust Indenture Act and this Indenture. If Section 310(b) of the Trust Indenture Act is amended any time after the date of this Indenture to change the circumstances under which a Trustee shall be deemed to have a conflicting interest with respect to the Securities of any series or to change any of the definitions in connection therewith, this Section 11.04 shall be automatically amended to incorporate such changes.</w:t>
      </w:r>
    </w:p>
    <w:p>
      <w:pPr>
        <w:spacing w:after="0" w:line="219"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Registration and Notice; Removal</w:t>
      </w:r>
      <w:r>
        <w:rPr>
          <w:rFonts w:ascii="Arial" w:cs="Arial" w:eastAsia="Arial" w:hAnsi="Arial"/>
          <w:sz w:val="18"/>
          <w:szCs w:val="18"/>
          <w:color w:val="auto"/>
        </w:rPr>
        <w:t>. The Trustee, or any successor to it hereafter appointed, may at any time resign and be discharged of the trusts hereby created with respect to any one or more or all series of Securities by giving to the Company notice in writing. Such resignation shall take effect upon the appointment of a successor Trustee and the acceptance of such appointment by such successor Trustee. Any Trustee hereunder may be removed with respect to any series of Securities at any time by the filing with such Trustee and the delivery to the Company of an instrument or instruments in writing signed by the Holders of a majority in principal amount of the Securities of such series then Outstanding, specifying such removal and the date when it shall become effective.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3" w:name="page64"/>
    <w:bookmarkEnd w:id="63"/>
    <w:p>
      <w:pPr>
        <w:ind w:left="460"/>
        <w:spacing w:after="0"/>
        <w:rPr>
          <w:sz w:val="20"/>
          <w:szCs w:val="20"/>
          <w:color w:val="auto"/>
        </w:rPr>
      </w:pPr>
      <w:r>
        <w:rPr>
          <w:rFonts w:ascii="Arial" w:cs="Arial" w:eastAsia="Arial" w:hAnsi="Arial"/>
          <w:sz w:val="18"/>
          <w:szCs w:val="18"/>
          <w:color w:val="auto"/>
        </w:rPr>
        <w:t>If at any time:</w:t>
      </w:r>
    </w:p>
    <w:p>
      <w:pPr>
        <w:spacing w:after="0" w:line="252" w:lineRule="exact"/>
        <w:rPr>
          <w:sz w:val="20"/>
          <w:szCs w:val="20"/>
          <w:color w:val="auto"/>
        </w:rPr>
      </w:pPr>
    </w:p>
    <w:p>
      <w:pPr>
        <w:ind w:right="20" w:firstLine="462"/>
        <w:spacing w:after="0" w:line="277" w:lineRule="auto"/>
        <w:tabs>
          <w:tab w:leader="none" w:pos="70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310(b) under the Trust Indenture Act after written request therefor by the Company or by any Holder who has been a bona fide Holder of a Security for at least six months;</w:t>
      </w:r>
    </w:p>
    <w:p>
      <w:pPr>
        <w:spacing w:after="0" w:line="197" w:lineRule="exact"/>
        <w:rPr>
          <w:rFonts w:ascii="Arial" w:cs="Arial" w:eastAsia="Arial" w:hAnsi="Arial"/>
          <w:sz w:val="18"/>
          <w:szCs w:val="18"/>
          <w:color w:val="auto"/>
        </w:rPr>
      </w:pPr>
    </w:p>
    <w:p>
      <w:pPr>
        <w:ind w:firstLine="458"/>
        <w:spacing w:after="0" w:line="277" w:lineRule="auto"/>
        <w:tabs>
          <w:tab w:leader="none" w:pos="7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11.04 and shall fail to resign after written request therefor by the Company or by any Holder who has been a bona fide Holder of a Security for at least six months; or</w:t>
      </w:r>
    </w:p>
    <w:p>
      <w:pPr>
        <w:spacing w:after="0" w:line="197" w:lineRule="exact"/>
        <w:rPr>
          <w:rFonts w:ascii="Arial" w:cs="Arial" w:eastAsia="Arial" w:hAnsi="Arial"/>
          <w:sz w:val="18"/>
          <w:szCs w:val="18"/>
          <w:color w:val="auto"/>
        </w:rPr>
      </w:pPr>
    </w:p>
    <w:p>
      <w:pPr>
        <w:jc w:val="both"/>
        <w:ind w:firstLine="578"/>
        <w:spacing w:after="0" w:line="273" w:lineRule="auto"/>
        <w:tabs>
          <w:tab w:leader="none" w:pos="837" w:val="left"/>
        </w:tabs>
        <w:numPr>
          <w:ilvl w:val="1"/>
          <w:numId w:val="114"/>
        </w:numPr>
        <w:rPr>
          <w:rFonts w:ascii="Arial" w:cs="Arial" w:eastAsia="Arial" w:hAnsi="Arial"/>
          <w:sz w:val="17"/>
          <w:szCs w:val="17"/>
          <w:color w:val="auto"/>
        </w:rPr>
      </w:pPr>
      <w:r>
        <w:rPr>
          <w:rFonts w:ascii="Arial" w:cs="Arial" w:eastAsia="Arial" w:hAnsi="Arial"/>
          <w:sz w:val="17"/>
          <w:szCs w:val="17"/>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(i) the Company by written notice to the Trustee may remove the Trustee and appoint a successor Trustee with respect to all Securities, or (ii) subject to Section 315(e) under the Trust Indenture Act, any Securityholder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205"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Upon its resignation or removal, any Trustee shall be entitled to the payment of reasonable compensation for the services rendered hereunder by such Trustee and to the payment of all reasonable expenses incurred hereunder and all moneys then due to it hereunder. The Trustee’s rights to indemnification provided in Section 11.01(a) shall survive its resignation or removal.</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Successor Trustee by Appointment</w:t>
      </w:r>
      <w:r>
        <w:rPr>
          <w:rFonts w:ascii="Arial" w:cs="Arial" w:eastAsia="Arial" w:hAnsi="Arial"/>
          <w:sz w:val="18"/>
          <w:szCs w:val="18"/>
          <w:color w:val="auto"/>
        </w:rPr>
        <w:t>.</w:t>
      </w:r>
    </w:p>
    <w:p>
      <w:pPr>
        <w:spacing w:after="0" w:line="252" w:lineRule="exact"/>
        <w:rPr>
          <w:sz w:val="20"/>
          <w:szCs w:val="20"/>
          <w:color w:val="auto"/>
        </w:rPr>
      </w:pPr>
    </w:p>
    <w:p>
      <w:pPr>
        <w:jc w:val="both"/>
        <w:ind w:firstLine="462"/>
        <w:spacing w:after="0" w:line="285" w:lineRule="auto"/>
        <w:tabs>
          <w:tab w:leader="none" w:pos="69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 case at any time the Trustee shall resign, or shall be removed (unless the Trustee shall be removed as provided in Section 11.04(b), in which event the vacancy shall be filled as provided in said subdivision), or shall become incapable of acting, or shall be adjudged bankrupt or insolvent, or if a receiver of the Trustee or of its property shall be appointed, or if any public officer shall take charge or control of the Trustee or of its property or affairs for the purpose of rehabilitation, conservation or liquidation with respect to the Securities of one or more series, a successor Trustee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series) may be appointed by the Holders of a majority in principal amount of the Securities of that or those series then Outstanding, by an instrument or instruments in writing signed in duplicate by such Holders and filed, one original thereof with the Company and the other with the successor Trustee; but, until a successor Trustee shall have been so appointed by the Holders of Securities of that or those series as herein authorized, the Company, or, in case all or substantially all the assets of the Company shall be in the possession of one or more custodians or receivers lawfully appointed, or of trustees in bankruptcy or reorganization proceedings (including a trustee or trustees appointed under the provisions of the federal bankruptcy laws, as now or hereafter constituted), or of assignees for the benefit of creditors, such receivers, custodians, trustees or assignees, as the case may be, by an instrument in writing, shall appoint a successor Trustee with respect to the Securities of such series. Subject to the provisions of Sections 11.04 and 11.05, upon the appointment as aforesaid of a successor Trustee with respect to the Securities of any series, the Trustee with respect to the Securities of such series shall cease to be Trustee hereunder. After any such appointment other than by the Holders of Securities of that or those series, the Person making such appointment shall forthwith cause notice thereof to be mailed to the Holders of Securities of such series at their addresses as the same shall then appear on the Register of the Company but any successor Trustee with respect to the Securities of such series so appointed shall, immediately and without further act, be superseded by a successor Trustee appointed by the Holders of Securities of such series in the manner above prescribed, if such appointment be made prior to the expiration of one year from the date of the mailing of such notice by the Company, or by such receivers, trustees or assignees.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4" w:name="page65"/>
    <w:bookmarkEnd w:id="64"/>
    <w:p>
      <w:pPr>
        <w:jc w:val="both"/>
        <w:ind w:firstLine="491"/>
        <w:spacing w:after="0" w:line="291" w:lineRule="auto"/>
        <w:tabs>
          <w:tab w:leader="none" w:pos="741"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If any Trustee with respect to the Securities of one or more series shall resign or be removed and a successor Trustee shall not have been appointed by the Company or by the Holders of the Securities of such series or, if any successor Trustee so appointed shall not have accepted its appointment within 30 days after such appointment shall have been made, the resigning Trustee at the expense of the Company may apply to any court of competent jurisdiction for the appointment of a successor Trustee. If in any other case a successor Trustee shall not be appointed pursuant to the foregoing provisions of this Section 11.06 within three months after such appointment might have been made hereunder, the Holder of any Security of the applicable series or any retiring Trustee at the expense of the Company may apply to any court of competent jurisdiction to appoint a successor Trustee. Such court may thereupon, in any such case, after such notice, if any, as such court may deem proper and prescribe, appoint a successor Trustee.</w:t>
      </w:r>
    </w:p>
    <w:p>
      <w:pPr>
        <w:spacing w:after="0" w:line="194" w:lineRule="exact"/>
        <w:rPr>
          <w:rFonts w:ascii="Arial" w:cs="Arial" w:eastAsia="Arial" w:hAnsi="Arial"/>
          <w:sz w:val="16"/>
          <w:szCs w:val="16"/>
          <w:color w:val="auto"/>
        </w:rPr>
      </w:pPr>
    </w:p>
    <w:p>
      <w:pPr>
        <w:jc w:val="both"/>
        <w:ind w:firstLine="652"/>
        <w:spacing w:after="0" w:line="268" w:lineRule="auto"/>
        <w:tabs>
          <w:tab w:leader="none" w:pos="898" w:val="left"/>
        </w:tabs>
        <w:numPr>
          <w:ilvl w:val="1"/>
          <w:numId w:val="116"/>
        </w:numPr>
        <w:rPr>
          <w:rFonts w:ascii="Arial" w:cs="Arial" w:eastAsia="Arial" w:hAnsi="Arial"/>
          <w:sz w:val="17"/>
          <w:szCs w:val="17"/>
          <w:color w:val="auto"/>
        </w:rPr>
      </w:pPr>
      <w:r>
        <w:rPr>
          <w:rFonts w:ascii="Arial" w:cs="Arial" w:eastAsia="Arial" w:hAnsi="Arial"/>
          <w:sz w:val="17"/>
          <w:szCs w:val="17"/>
          <w:color w:val="auto"/>
        </w:rPr>
        <w:t>Any successor Trustee appointed hereunder with respect to the Securities of one or more series shall execute, acknowledge and deliver to its predecessor Trustee and to the Company, or to the receivers, trustees, assignees or court appointing it, as the case may be, an instrument accepting such appointment hereunder, and thereupon such successor Trustee, without any further act, deed or conveyance, shall become vested with all the authority, rights, powers, trusts, immunities, duties and obligations with respect to such series of such predecessor Trustee with like effect as if originally named as Trustee hereunder, and such predecessor Trustee, upon payment of its charges and disbursements then unpaid, shall thereupon become obligated to pay over, and such successor Trustee shall be entitled to receive, all moneys and properties held by such predecessor Trustee as Trustee hereunder, subject nevertheless to its lien provided for in Section 11.01(a). Nevertheless, on the written request of the Company or of the successor Trustee or of the Holders of at least 10% in principal amount of the Securities of such series then Outstanding, such predecessor Trustee, upon payment of its said charges and disbursements, shall execute and deliver an instrument transferring to such successor Trustee upon the trusts herein expressed all the rights, powers and trusts of such predecessor Trustee and shall assign, transfer and deliver to the successor Trustee all moneys and properties held by such predecessor Trustee, subject nevertheless to its lien provided for in Section 11.01(a); and, upon request of any such successor Trustee and the Company shall make, execute, acknowledge and deliver any and all instruments in writing for more fully and effectually vesting in and confirming to such successor Trustee all such authority, rights, powers, trusts, immunities, duties and obligations.</w:t>
      </w:r>
    </w:p>
    <w:p>
      <w:pPr>
        <w:spacing w:after="0" w:line="215" w:lineRule="exact"/>
        <w:rPr>
          <w:sz w:val="20"/>
          <w:szCs w:val="20"/>
          <w:color w:val="auto"/>
        </w:rPr>
      </w:pPr>
    </w:p>
    <w:p>
      <w:pPr>
        <w:jc w:val="both"/>
        <w:ind w:firstLine="545"/>
        <w:spacing w:after="0" w:line="287" w:lineRule="auto"/>
        <w:rPr>
          <w:sz w:val="20"/>
          <w:szCs w:val="20"/>
          <w:color w:val="auto"/>
        </w:rPr>
      </w:pPr>
      <w:r>
        <w:rPr>
          <w:rFonts w:ascii="Arial" w:cs="Arial" w:eastAsia="Arial" w:hAnsi="Arial"/>
          <w:sz w:val="16"/>
          <w:szCs w:val="16"/>
          <w:color w:val="auto"/>
        </w:rPr>
        <w:t xml:space="preserve">Section 11.07 </w:t>
      </w:r>
      <w:r>
        <w:rPr>
          <w:rFonts w:ascii="Arial" w:cs="Arial" w:eastAsia="Arial" w:hAnsi="Arial"/>
          <w:sz w:val="16"/>
          <w:szCs w:val="16"/>
          <w:u w:val="single" w:color="auto"/>
          <w:color w:val="auto"/>
        </w:rPr>
        <w:t>Successor Trustee by Merger</w:t>
      </w:r>
      <w:r>
        <w:rPr>
          <w:rFonts w:ascii="Arial" w:cs="Arial" w:eastAsia="Arial" w:hAnsi="Arial"/>
          <w:sz w:val="16"/>
          <w:szCs w:val="16"/>
          <w:color w:val="auto"/>
        </w:rPr>
        <w:t>. 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provided that such Person shall be otherwise qualified and eligible under this Article. In case at the time such successor to the Trustee shall succeed to the trusts created by this Indenture with respect to one or more series of Securities, any of such Securities shall have been authenticated but not delivered by the Trustee then in office, any successor to such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and in all such cases such certificates shall have the full force which it is anywhere in the Securities or in this Indenture provided that the certificate of the Trustee shall have; provided, however, that the right to adopt the certificate of authentication of any predecessor Trustee or authenticate Securities in the name of any predecessor Trustee shall apply only to its successor or successors by merger, conversion or consolidation.</w:t>
      </w:r>
    </w:p>
    <w:p>
      <w:pPr>
        <w:spacing w:after="0" w:line="196" w:lineRule="exact"/>
        <w:rPr>
          <w:sz w:val="20"/>
          <w:szCs w:val="20"/>
          <w:color w:val="auto"/>
        </w:rPr>
      </w:pPr>
    </w:p>
    <w:p>
      <w:pPr>
        <w:jc w:val="both"/>
        <w:ind w:firstLine="639"/>
        <w:spacing w:after="0" w:line="255" w:lineRule="auto"/>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u w:val="single" w:color="auto"/>
          <w:color w:val="auto"/>
        </w:rPr>
        <w:t>Right to Rely on Officer’s Certificate</w:t>
      </w:r>
      <w:r>
        <w:rPr>
          <w:rFonts w:ascii="Arial" w:cs="Arial" w:eastAsia="Arial" w:hAnsi="Arial"/>
          <w:sz w:val="18"/>
          <w:szCs w:val="18"/>
          <w:color w:val="auto"/>
        </w:rPr>
        <w:t>. Subject to Section 11.02, and subject to the provisions of Section 15.01 with respect to the certificates required thereby, whenever in the administration of the provisions of this Indenture the Trustee shall deem it necessary or desirable that a matter be proved or established prior to taking or suffering any action hereunder, such matter (unless other evidence in respect thereof be herein specifically prescribed) may, in the absence of negligence, bad faith or willful misconduct on the part of the Trustee, be deemed to be conclusively proved and established by an Officer’s Certificate with respect thereto delivered to the Trustee, and such Officer’s Certificate, in the absence of negligence, bad faith or willful misconduct on the part of the Trustee, shall be full warrant to the Trustee for any action taken, suffered or omitted by it under the provisions of this Indenture upon the faith thereof.</w:t>
      </w:r>
    </w:p>
    <w:p>
      <w:pPr>
        <w:spacing w:after="0" w:line="216"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Appointment of Authenticating Agent</w:t>
      </w:r>
      <w:r>
        <w:rPr>
          <w:rFonts w:ascii="Arial" w:cs="Arial" w:eastAsia="Arial" w:hAnsi="Arial"/>
          <w:sz w:val="18"/>
          <w:szCs w:val="18"/>
          <w:color w:val="auto"/>
        </w:rPr>
        <w:t>. The Trustee may appoint an agent (the “Authenticating Agent”) reasonably acceptable to the Company to authenticate the Securities, and the Trustee shall give written notice of such appointment to all Holders of Securities of the series with respect to which such Authenticating Agent will serve. Unless limited by the terms of such appointment, any such Authenticating Agent may authenticate Securities whenever the Trustee may do so. Each reference in this Indenture to authentication by the Trustee includes authentication by the Authenticating Agent. Securities so authenticated shall be entitled to the benefits of this Indenture and shall be valid and obligatory for all purposes as if authenticated by the Trustee hereunder.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5" w:name="page66"/>
    <w:bookmarkEnd w:id="65"/>
    <w:p>
      <w:pPr>
        <w:jc w:val="both"/>
        <w:ind w:firstLine="522"/>
        <w:spacing w:after="0" w:line="255" w:lineRule="auto"/>
        <w:rPr>
          <w:sz w:val="20"/>
          <w:szCs w:val="20"/>
          <w:color w:val="auto"/>
        </w:rPr>
      </w:pPr>
      <w:r>
        <w:rPr>
          <w:rFonts w:ascii="Arial" w:cs="Arial" w:eastAsia="Arial" w:hAnsi="Arial"/>
          <w:sz w:val="18"/>
          <w:szCs w:val="18"/>
          <w:color w:val="auto"/>
        </w:rPr>
        <w:t>Each Authenticating Agent shall at all times be a corporation organized and doing business and in good standing under the laws of the United States, any State thereof or the District of Columbia, authorized under such laws to act as Authenticating Agent, having a combined capital and surplus of not less than $50,000,000 and subject to supervision or examination by Federal or State authority. If such corporation publishes reports of condition at least annually, pursuant to law or to the requirements of said supervising or examining authority, then for the purposes of this Article XI, the combined capital and surplus of such corporation shall be deemed to be its combined capital and surplus as set forth in its most recent report of condition so published. If at any time an Authenticating Agent shall cease to be eligible in accordance with the provisions of this Article XI, it shall resign immediately in the manner and with the effect specified in this Article XI.</w:t>
      </w:r>
    </w:p>
    <w:p>
      <w:pPr>
        <w:spacing w:after="0" w:line="216" w:lineRule="exact"/>
        <w:rPr>
          <w:sz w:val="20"/>
          <w:szCs w:val="20"/>
          <w:color w:val="auto"/>
        </w:rPr>
      </w:pPr>
    </w:p>
    <w:p>
      <w:pPr>
        <w:jc w:val="both"/>
        <w:ind w:firstLine="516"/>
        <w:spacing w:after="0" w:line="302"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Article XI, without the execution or filing of any paper or any further act on the part of the Trustee or the Authenticating Agent.</w:t>
      </w:r>
    </w:p>
    <w:p>
      <w:pPr>
        <w:spacing w:after="0" w:line="181" w:lineRule="exact"/>
        <w:rPr>
          <w:sz w:val="20"/>
          <w:szCs w:val="20"/>
          <w:color w:val="auto"/>
        </w:rPr>
      </w:pPr>
    </w:p>
    <w:p>
      <w:pPr>
        <w:jc w:val="both"/>
        <w:ind w:firstLine="579"/>
        <w:spacing w:after="0" w:line="291" w:lineRule="auto"/>
        <w:rPr>
          <w:sz w:val="20"/>
          <w:szCs w:val="20"/>
          <w:color w:val="auto"/>
        </w:rPr>
      </w:pPr>
      <w:r>
        <w:rPr>
          <w:rFonts w:ascii="Arial" w:cs="Arial" w:eastAsia="Arial" w:hAnsi="Arial"/>
          <w:sz w:val="16"/>
          <w:szCs w:val="16"/>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11.09, the Trustee may appoint a successor Authenticating Agent which shall be acceptable to the Company and shall give written notice of such appointment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11.09.</w:t>
      </w:r>
    </w:p>
    <w:p>
      <w:pPr>
        <w:spacing w:after="0" w:line="194" w:lineRule="exact"/>
        <w:rPr>
          <w:sz w:val="20"/>
          <w:szCs w:val="20"/>
          <w:color w:val="auto"/>
        </w:rPr>
      </w:pPr>
    </w:p>
    <w:p>
      <w:pPr>
        <w:jc w:val="both"/>
        <w:ind w:firstLine="533"/>
        <w:spacing w:after="0" w:line="277" w:lineRule="auto"/>
        <w:rPr>
          <w:sz w:val="20"/>
          <w:szCs w:val="20"/>
          <w:color w:val="auto"/>
        </w:rPr>
      </w:pPr>
      <w:r>
        <w:rPr>
          <w:rFonts w:ascii="Arial" w:cs="Arial" w:eastAsia="Arial" w:hAnsi="Arial"/>
          <w:sz w:val="18"/>
          <w:szCs w:val="18"/>
          <w:color w:val="auto"/>
        </w:rPr>
        <w:t>The Trustee agrees to pay to each Authenticating Agent from time to time reasonable compensation for its services under this Section 11.09, and the Trustee shall be entitled to be reimbursed for such payments, subject to the provisions of Section 11.01.</w:t>
      </w:r>
    </w:p>
    <w:p>
      <w:pPr>
        <w:spacing w:after="0" w:line="197" w:lineRule="exact"/>
        <w:rPr>
          <w:sz w:val="20"/>
          <w:szCs w:val="20"/>
          <w:color w:val="auto"/>
        </w:rPr>
      </w:pPr>
    </w:p>
    <w:p>
      <w:pPr>
        <w:jc w:val="both"/>
        <w:ind w:firstLine="504"/>
        <w:spacing w:after="0" w:line="286" w:lineRule="auto"/>
        <w:rPr>
          <w:sz w:val="20"/>
          <w:szCs w:val="20"/>
          <w:color w:val="auto"/>
        </w:rPr>
      </w:pPr>
      <w:r>
        <w:rPr>
          <w:rFonts w:ascii="Arial" w:cs="Arial" w:eastAsia="Arial" w:hAnsi="Arial"/>
          <w:sz w:val="17"/>
          <w:szCs w:val="17"/>
          <w:color w:val="auto"/>
        </w:rPr>
        <w:t xml:space="preserve">Section 11.10 </w:t>
      </w:r>
      <w:r>
        <w:rPr>
          <w:rFonts w:ascii="Arial" w:cs="Arial" w:eastAsia="Arial" w:hAnsi="Arial"/>
          <w:sz w:val="17"/>
          <w:szCs w:val="17"/>
          <w:u w:val="single" w:color="auto"/>
          <w:color w:val="auto"/>
        </w:rPr>
        <w:t>Communications by Securityholders with Other Securityholders</w:t>
      </w:r>
      <w:r>
        <w:rPr>
          <w:rFonts w:ascii="Arial" w:cs="Arial" w:eastAsia="Arial" w:hAnsi="Arial"/>
          <w:sz w:val="17"/>
          <w:szCs w:val="17"/>
          <w:color w:val="auto"/>
        </w:rPr>
        <w:t>. Holders of Securities may communicate pursuant to Section 312(b) of the Trust Indenture Act with other Holders with respect to their rights under this Indenture or the Securities. The Company, the Trustee, the Registrar and anyone else shall have the protection of Section 312(c) of the Trust Indenture Act with respect to such communications.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56"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If, pursuant to Section 3.01, provision is made for the defeasance of Securities of a series and if the Securities of such series are denominated and payable only in U.S. Dollars (except as provided pursuant to Section 3.01), then the provisions of this Article shall be applicable except as otherwise specified pursuant to Section 3.01 for Securities of such series. Defeasance provisions, if any, for Securities denominated in a Foreign Currency may be specified pursuant to Section 3.01.</w:t>
      </w:r>
    </w:p>
    <w:p>
      <w:pPr>
        <w:spacing w:after="0" w:line="214" w:lineRule="exact"/>
        <w:rPr>
          <w:sz w:val="20"/>
          <w:szCs w:val="20"/>
          <w:color w:val="auto"/>
        </w:rPr>
      </w:pPr>
    </w:p>
    <w:p>
      <w:pPr>
        <w:jc w:val="both"/>
        <w:ind w:firstLine="653"/>
        <w:spacing w:after="0" w:line="302" w:lineRule="auto"/>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 This Indenture, with respect to the Securities of any series (if all series issued under this Indenture are not to be affected), shall, upon Company Order, cease to be of further effect (except as to any surviving rights of registration of transfer or exchange of such Securities herein expressly provided for and rights to receive payments of principal of and premium, if any, and interest on such Securities) and the Trustee, at the expense of the Company, shall execute proper instruments acknowledging satisfaction and discharge of this Indenture, when,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6" w:name="page67"/>
    <w:bookmarkEnd w:id="66"/>
    <w:p>
      <w:pPr>
        <w:ind w:left="700" w:hanging="242"/>
        <w:spacing w:after="0"/>
        <w:tabs>
          <w:tab w:leader="none" w:pos="7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either:</w:t>
      </w:r>
    </w:p>
    <w:p>
      <w:pPr>
        <w:spacing w:after="0" w:line="252" w:lineRule="exact"/>
        <w:rPr>
          <w:rFonts w:ascii="Arial" w:cs="Arial" w:eastAsia="Arial" w:hAnsi="Arial"/>
          <w:sz w:val="18"/>
          <w:szCs w:val="18"/>
          <w:color w:val="auto"/>
        </w:rPr>
      </w:pPr>
    </w:p>
    <w:p>
      <w:pPr>
        <w:jc w:val="both"/>
        <w:ind w:firstLine="966"/>
        <w:spacing w:after="0" w:line="259" w:lineRule="auto"/>
        <w:tabs>
          <w:tab w:leader="none" w:pos="1176" w:val="left"/>
        </w:tabs>
        <w:numPr>
          <w:ilvl w:val="2"/>
          <w:numId w:val="117"/>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(other than (A) Securities that have been destroyed, lost or stolen and that have been replaced or paid as provided in Section 3.07 and (B) Securities for whose payment money has theretofore been deposited in trust or segregated and held in trust by the Company and thereafter repaid to the Company or discharged from such trust, as provided in Section 6.03) have been delivered to the Trustee for cancellation; or</w:t>
      </w:r>
    </w:p>
    <w:p>
      <w:pPr>
        <w:spacing w:after="0" w:line="213" w:lineRule="exact"/>
        <w:rPr>
          <w:rFonts w:ascii="Arial" w:cs="Arial" w:eastAsia="Arial" w:hAnsi="Arial"/>
          <w:sz w:val="18"/>
          <w:szCs w:val="18"/>
          <w:color w:val="auto"/>
        </w:rPr>
      </w:pPr>
    </w:p>
    <w:p>
      <w:pPr>
        <w:ind w:left="1180" w:hanging="272"/>
        <w:spacing w:after="0"/>
        <w:tabs>
          <w:tab w:leader="none" w:pos="118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all Securities of such series not theretofore delivered to the Trustee for cancellation:</w:t>
      </w:r>
    </w:p>
    <w:p>
      <w:pPr>
        <w:spacing w:after="0" w:line="252" w:lineRule="exact"/>
        <w:rPr>
          <w:rFonts w:ascii="Arial" w:cs="Arial" w:eastAsia="Arial" w:hAnsi="Arial"/>
          <w:sz w:val="18"/>
          <w:szCs w:val="18"/>
          <w:color w:val="auto"/>
        </w:rPr>
      </w:pPr>
    </w:p>
    <w:p>
      <w:pPr>
        <w:ind w:left="1660" w:hanging="302"/>
        <w:spacing w:after="0"/>
        <w:tabs>
          <w:tab w:leader="none" w:pos="1660" w:val="left"/>
        </w:tabs>
        <w:numPr>
          <w:ilvl w:val="3"/>
          <w:numId w:val="117"/>
        </w:numPr>
        <w:rPr>
          <w:rFonts w:ascii="Arial" w:cs="Arial" w:eastAsia="Arial" w:hAnsi="Arial"/>
          <w:sz w:val="18"/>
          <w:szCs w:val="18"/>
          <w:color w:val="auto"/>
        </w:rPr>
      </w:pPr>
      <w:r>
        <w:rPr>
          <w:rFonts w:ascii="Arial" w:cs="Arial" w:eastAsia="Arial" w:hAnsi="Arial"/>
          <w:sz w:val="18"/>
          <w:szCs w:val="18"/>
          <w:color w:val="auto"/>
        </w:rPr>
        <w:t>have become due and payable;</w:t>
      </w:r>
    </w:p>
    <w:p>
      <w:pPr>
        <w:spacing w:after="0" w:line="252" w:lineRule="exact"/>
        <w:rPr>
          <w:rFonts w:ascii="Arial" w:cs="Arial" w:eastAsia="Arial" w:hAnsi="Arial"/>
          <w:sz w:val="18"/>
          <w:szCs w:val="18"/>
          <w:color w:val="auto"/>
        </w:rPr>
      </w:pPr>
    </w:p>
    <w:p>
      <w:pPr>
        <w:ind w:left="1640" w:hanging="282"/>
        <w:spacing w:after="0"/>
        <w:tabs>
          <w:tab w:leader="none" w:pos="1640" w:val="left"/>
        </w:tabs>
        <w:numPr>
          <w:ilvl w:val="3"/>
          <w:numId w:val="117"/>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52" w:lineRule="exact"/>
        <w:rPr>
          <w:rFonts w:ascii="Arial" w:cs="Arial" w:eastAsia="Arial" w:hAnsi="Arial"/>
          <w:sz w:val="18"/>
          <w:szCs w:val="18"/>
          <w:color w:val="auto"/>
        </w:rPr>
      </w:pPr>
    </w:p>
    <w:p>
      <w:pPr>
        <w:jc w:val="both"/>
        <w:ind w:firstLine="1396"/>
        <w:spacing w:after="0" w:line="270" w:lineRule="auto"/>
        <w:tabs>
          <w:tab w:leader="none" w:pos="1674" w:val="left"/>
        </w:tabs>
        <w:numPr>
          <w:ilvl w:val="4"/>
          <w:numId w:val="117"/>
        </w:numPr>
        <w:rPr>
          <w:rFonts w:ascii="Arial" w:cs="Arial" w:eastAsia="Arial" w:hAnsi="Arial"/>
          <w:sz w:val="17"/>
          <w:szCs w:val="17"/>
          <w:color w:val="auto"/>
        </w:rPr>
      </w:pPr>
      <w:r>
        <w:rPr>
          <w:rFonts w:ascii="Arial" w:cs="Arial" w:eastAsia="Arial" w:hAnsi="Arial"/>
          <w:sz w:val="17"/>
          <w:szCs w:val="17"/>
          <w:color w:val="auto"/>
        </w:rPr>
        <w:t>are to be called for redemption within one year under arrangements satisfactory to the Trustee for the giving of notice by the Trustee in the name, and at the expense, of the Company, and the Company, and in the case of (A), (B) or (C) above, has deposited or caused to be deposited with the Trustee or Paying Agent as trust funds in trust for the purpose an amount in the Currency in which such Securities are denominated (except as otherwise provided pursuant to Section 3.01) sufficient to pay and discharge the entire Indebtedness on such Securities for principal and premium, if any, and interest to the date of such deposit (in the case of Securities that have become due and payable) or to the Stated Maturity or Redemption Date, as the case may be; provided, however, in the event a petition for relief under federal bankruptcy laws, as now or hereafter constituted, or any other applicable federal or state bankruptcy, insolvency or other similar law, is filed with respect to the Company within 91 days after the deposit and the Trustee is required to return the moneys then on deposit with the Trustee to the Company, the obligations of the Company under this Indenture with respect to such Securities shall not be deemed terminated or discharged.</w:t>
      </w:r>
    </w:p>
    <w:p>
      <w:pPr>
        <w:spacing w:after="0" w:line="208" w:lineRule="exact"/>
        <w:rPr>
          <w:rFonts w:ascii="Arial" w:cs="Arial" w:eastAsia="Arial" w:hAnsi="Arial"/>
          <w:sz w:val="17"/>
          <w:szCs w:val="17"/>
          <w:color w:val="auto"/>
        </w:rPr>
      </w:pPr>
    </w:p>
    <w:p>
      <w:pPr>
        <w:ind w:left="720" w:hanging="262"/>
        <w:spacing w:after="0"/>
        <w:tabs>
          <w:tab w:leader="none" w:pos="7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52" w:lineRule="exact"/>
        <w:rPr>
          <w:rFonts w:ascii="Arial" w:cs="Arial" w:eastAsia="Arial" w:hAnsi="Arial"/>
          <w:sz w:val="18"/>
          <w:szCs w:val="18"/>
          <w:color w:val="auto"/>
        </w:rPr>
      </w:pPr>
    </w:p>
    <w:p>
      <w:pPr>
        <w:jc w:val="both"/>
        <w:ind w:firstLine="631"/>
        <w:spacing w:after="0" w:line="257" w:lineRule="auto"/>
        <w:tabs>
          <w:tab w:leader="none" w:pos="885"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with respect to such series have been complied with. Notwithstanding the satisfaction and discharge of this Indenture, the obligations of the Company to the Trustee under Section 11.01 and, if money shall have been deposited with the Trustee pursuant to subclause (B) of clause (a)(i) of this Section 12.02, the obligations of the Trustee under Section 12.06 and the last paragraph of Section 6.03(e) shall survive.</w:t>
      </w:r>
    </w:p>
    <w:p>
      <w:pPr>
        <w:spacing w:after="0" w:line="215" w:lineRule="exact"/>
        <w:rPr>
          <w:sz w:val="20"/>
          <w:szCs w:val="20"/>
          <w:color w:val="auto"/>
        </w:rPr>
      </w:pPr>
    </w:p>
    <w:p>
      <w:pPr>
        <w:jc w:val="both"/>
        <w:ind w:firstLine="450"/>
        <w:spacing w:after="0" w:line="276" w:lineRule="auto"/>
        <w:rPr>
          <w:sz w:val="20"/>
          <w:szCs w:val="20"/>
          <w:color w:val="auto"/>
        </w:rPr>
      </w:pPr>
      <w:r>
        <w:rPr>
          <w:rFonts w:ascii="Arial" w:cs="Arial" w:eastAsia="Arial" w:hAnsi="Arial"/>
          <w:sz w:val="17"/>
          <w:szCs w:val="17"/>
          <w:color w:val="auto"/>
        </w:rPr>
        <w:t xml:space="preserve">Section 12.03 </w:t>
      </w:r>
      <w:r>
        <w:rPr>
          <w:rFonts w:ascii="Arial" w:cs="Arial" w:eastAsia="Arial" w:hAnsi="Arial"/>
          <w:sz w:val="17"/>
          <w:szCs w:val="17"/>
          <w:u w:val="single" w:color="auto"/>
          <w:color w:val="auto"/>
        </w:rPr>
        <w:t>Defeasance upon Deposit of Moneys or U.S</w:t>
      </w:r>
      <w:r>
        <w:rPr>
          <w:rFonts w:ascii="Arial" w:cs="Arial" w:eastAsia="Arial" w:hAnsi="Arial"/>
          <w:sz w:val="17"/>
          <w:szCs w:val="17"/>
          <w:color w:val="auto"/>
        </w:rPr>
        <w:t>. Government Obligations. At the Company’s option, either (a) the Company shall be deemed to have been Discharged (as defined below) from its obligations with respect to Securities of any series on the first day after the applicable conditions set forth below have been satisfied or (b) the Company shall cease to be under any obligation to comply with any term, provision or condition set forth in Section 6.04 with respect to Securities of any series (and, if so specified pursuant to Section 3.01, any other restrictive covenant added for the benefit of such series pursuant to Section 3.01) at any time after the applicable conditions set forth below have been satisfied:</w:t>
      </w:r>
    </w:p>
    <w:p>
      <w:pPr>
        <w:spacing w:after="0" w:line="200" w:lineRule="exact"/>
        <w:rPr>
          <w:sz w:val="20"/>
          <w:szCs w:val="20"/>
          <w:color w:val="auto"/>
        </w:rPr>
      </w:pPr>
    </w:p>
    <w:p>
      <w:pPr>
        <w:jc w:val="both"/>
        <w:ind w:firstLine="474"/>
        <w:spacing w:after="0" w:line="255" w:lineRule="auto"/>
        <w:tabs>
          <w:tab w:leader="none" w:pos="70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shall have deposited or caused to be deposited irrevocably with the Trustee as trust funds in trust, specifically pledged as security for, and dedicated solely to, the benefit of the Holders of the Securities of such series (i) money in an amount, or (ii) U.S. Government Obligations (as defined below) that through the payment of interest and principal in respect thereof in accordance with their terms will provide, not later than one day before the due date of any payment, money in an amount, or (iii) a combination of (i) and (ii), sufficient to pay and discharge each installment of principal (including any mandatory sinking fund payments) of and premium, if any, and interest on, the Outstanding Securities of such series on the dates such installments of interest or principal and premium are due;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7" w:name="page68"/>
    <w:bookmarkEnd w:id="67"/>
    <w:p>
      <w:pPr>
        <w:ind w:firstLine="586"/>
        <w:spacing w:after="0" w:line="277" w:lineRule="auto"/>
        <w:tabs>
          <w:tab w:leader="none" w:pos="845" w:val="left"/>
        </w:tabs>
        <w:numPr>
          <w:ilvl w:val="1"/>
          <w:numId w:val="119"/>
        </w:numPr>
        <w:rPr>
          <w:rFonts w:ascii="Arial" w:cs="Arial" w:eastAsia="Arial" w:hAnsi="Arial"/>
          <w:sz w:val="18"/>
          <w:szCs w:val="18"/>
          <w:color w:val="auto"/>
        </w:rPr>
      </w:pPr>
      <w:r>
        <w:rPr>
          <w:rFonts w:ascii="Arial" w:cs="Arial" w:eastAsia="Arial" w:hAnsi="Arial"/>
          <w:sz w:val="18"/>
          <w:szCs w:val="18"/>
          <w:color w:val="auto"/>
        </w:rPr>
        <w:t>No Default with respect to the Securities of such series shall have occurred and be continuing on the date of such deposit (other than a Default resulting from the borrowing of funds and the grant of any related liens to be applied to such deposit); and</w:t>
      </w:r>
    </w:p>
    <w:p>
      <w:pPr>
        <w:spacing w:after="0" w:line="197" w:lineRule="exact"/>
        <w:rPr>
          <w:rFonts w:ascii="Arial" w:cs="Arial" w:eastAsia="Arial" w:hAnsi="Arial"/>
          <w:sz w:val="18"/>
          <w:szCs w:val="18"/>
          <w:color w:val="auto"/>
        </w:rPr>
      </w:pPr>
    </w:p>
    <w:p>
      <w:pPr>
        <w:jc w:val="both"/>
        <w:ind w:firstLine="481"/>
        <w:spacing w:after="0" w:line="257" w:lineRule="auto"/>
        <w:tabs>
          <w:tab w:leader="none" w:pos="71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Opinion of Counsel to the effect that Holders of the Securities of such series will not recognize income, gain or loss for U.S. federal income tax purposes as a result of the Company’s exercise of its option under this Section 12.03 and will be subject to federal income tax on the same amounts and in the same manner and at the same times as would have been the case if such action had not been exercised and, in the case of the Securities of such series being Discharged accompanied by a ruling to that effect received from or published by the Internal Revenue Service.</w:t>
      </w:r>
    </w:p>
    <w:p>
      <w:pPr>
        <w:spacing w:after="0" w:line="215" w:lineRule="exact"/>
        <w:rPr>
          <w:sz w:val="20"/>
          <w:szCs w:val="20"/>
          <w:color w:val="auto"/>
        </w:rPr>
      </w:pPr>
    </w:p>
    <w:p>
      <w:pPr>
        <w:jc w:val="both"/>
        <w:ind w:firstLine="498"/>
        <w:spacing w:after="0" w:line="255" w:lineRule="auto"/>
        <w:rPr>
          <w:sz w:val="20"/>
          <w:szCs w:val="20"/>
          <w:color w:val="auto"/>
        </w:rPr>
      </w:pPr>
      <w:r>
        <w:rPr>
          <w:rFonts w:ascii="Arial" w:cs="Arial" w:eastAsia="Arial" w:hAnsi="Arial"/>
          <w:sz w:val="18"/>
          <w:szCs w:val="18"/>
          <w:color w:val="auto"/>
        </w:rPr>
        <w:t>“Discharged” means that the Company shall be deemed to have paid and discharged the entire Indebtedness represented by, and obligations under, the Securities of such series and to have satisfied all the obligations under this Indenture relating to the Securities of such series (and the Trustee, at the expense of the Company, shall execute proper instruments acknowledging the same), except (A) the rights of Holders of Securities of such series to receive, from the trust fund described in clause (a) above, payment of the principal of and premium, if any, and interest on such Securities when such payments are due, (B) the Company’s obligations with respect to Securities of such series under Sections 3.04, 3.06, 3.07, 6.02 and 12.06 and (C) the rights, powers, trusts, duties and immunities of the Trustee hereunder.</w:t>
      </w:r>
    </w:p>
    <w:p>
      <w:pPr>
        <w:spacing w:after="0" w:line="22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“U.S. Government Obligations” means securities that are: (i) direct obligations of the United States for the payment of which its full faith and credit is pledged; or (ii) obligations of a Person controlled or supervised by and acting as an agency or instrumentality of the United States the timely of payment of which is unconditionally guaranteed as a full faith and credit obligation by the United States, that, in either case under clauses (i) or (ii) are not callable or redeemable at the action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provided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pacing w:after="0" w:line="206" w:lineRule="exact"/>
        <w:rPr>
          <w:sz w:val="20"/>
          <w:szCs w:val="20"/>
          <w:color w:val="auto"/>
        </w:rPr>
      </w:pPr>
    </w:p>
    <w:p>
      <w:pPr>
        <w:jc w:val="both"/>
        <w:ind w:firstLine="585"/>
        <w:spacing w:after="0" w:line="259" w:lineRule="auto"/>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 The Trustee and any Paying Agent shall promptly pay to the Company (or to its designee) upon Company Order any excess moneys or U.S. Government Obligations held by them at any time. The provisions of the last paragraph of Section 6.03 shall apply to any money held by the Trustee or any Paying Agent under this Article that remains unclaimed for two years after the Maturity of any series of Securities for which money or U.S. Government Obligations have been deposited pursuant to Section 12.03.</w:t>
      </w:r>
    </w:p>
    <w:p>
      <w:pPr>
        <w:spacing w:after="0" w:line="214" w:lineRule="exact"/>
        <w:rPr>
          <w:sz w:val="20"/>
          <w:szCs w:val="20"/>
          <w:color w:val="auto"/>
        </w:rPr>
      </w:pPr>
    </w:p>
    <w:p>
      <w:pPr>
        <w:jc w:val="both"/>
        <w:ind w:right="20" w:firstLine="464"/>
        <w:spacing w:after="0" w:line="342" w:lineRule="auto"/>
        <w:rPr>
          <w:sz w:val="20"/>
          <w:szCs w:val="20"/>
          <w:color w:val="auto"/>
        </w:rPr>
      </w:pPr>
      <w:r>
        <w:rPr>
          <w:rFonts w:ascii="Arial" w:cs="Arial" w:eastAsia="Arial" w:hAnsi="Arial"/>
          <w:sz w:val="16"/>
          <w:szCs w:val="16"/>
          <w:color w:val="auto"/>
        </w:rPr>
        <w:t xml:space="preserve">Section 12.05 </w:t>
      </w:r>
      <w:r>
        <w:rPr>
          <w:rFonts w:ascii="Arial" w:cs="Arial" w:eastAsia="Arial" w:hAnsi="Arial"/>
          <w:sz w:val="16"/>
          <w:szCs w:val="16"/>
          <w:u w:val="single" w:color="auto"/>
          <w:color w:val="auto"/>
        </w:rPr>
        <w:t>Indemnity for U.S. Government Obligations</w:t>
      </w:r>
      <w:r>
        <w:rPr>
          <w:rFonts w:ascii="Arial" w:cs="Arial" w:eastAsia="Arial" w:hAnsi="Arial"/>
          <w:sz w:val="16"/>
          <w:szCs w:val="16"/>
          <w:color w:val="auto"/>
        </w:rPr>
        <w:t>. The Company shall pay and shall indemnify the Trustee against any tax, fee or other charge imposed on or assessed against the deposited U.S. Government Obligations or the principal or interest received on such U.S. Government Obligations.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w:t>
      </w:r>
    </w:p>
    <w:p>
      <w:pPr>
        <w:spacing w:after="0" w:line="252" w:lineRule="exact"/>
        <w:rPr>
          <w:sz w:val="20"/>
          <w:szCs w:val="20"/>
          <w:color w:val="auto"/>
        </w:rPr>
      </w:pPr>
    </w:p>
    <w:p>
      <w:pPr>
        <w:jc w:val="both"/>
        <w:ind w:firstLine="537"/>
        <w:spacing w:after="0" w:line="291" w:lineRule="auto"/>
        <w:tabs>
          <w:tab w:leader="none" w:pos="78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Subject to any applicable abandoned property law, neither the Trustee nor any other paying agent shall be required to pay interest on any moneys deposited pursuant to the provisions of this Indenture, except such as it shall agree with the Company in writing to pay thereon. Any moneys so deposited for the payment of the principal of, or premium, if any, or interest on the Securities of any series and remaining unclaimed for two years after the date of the maturity of the Securities of such series or the date fixed for the redemption of all the Securities of such series at the time outstanding, as the case may be, shall be repaid by the Trustee or such other paying agent to the Company upon its written request and thereafter, anything in this Indenture to the contrary notwithstanding, any rights of the Holders of Securities of such series in respect of which such moneys shall have been deposited shall be enforceable only against the Company, and all liability of the Trustee or such other paying agent with respect to such moneys shall thereafter cease.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8" w:name="page69"/>
    <w:bookmarkEnd w:id="68"/>
    <w:p>
      <w:pPr>
        <w:jc w:val="both"/>
        <w:ind w:firstLine="552"/>
        <w:spacing w:after="0" w:line="279" w:lineRule="auto"/>
        <w:tabs>
          <w:tab w:leader="none" w:pos="80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Subject to the provisions of the foregoing paragraph, any moneys which at any time shall be deposited by the Company or on its behalf with the Trustee or any other paying agent for the purpose of paying the principal of, premium, if any, and interest on any of the Securities shall be and are hereby assigned, transferred and set over to the Trustee or such other paying agent in trust for the respective Holders of the Securities for the purpose for which such moneys shall have been deposited; but such moneys need not be segregated from other funds except to the extent required by law.</w:t>
      </w:r>
    </w:p>
    <w:p>
      <w:pPr>
        <w:spacing w:after="0" w:line="198"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u w:val="single" w:color="auto"/>
          <w:color w:val="auto"/>
        </w:rPr>
        <w:t>Deposits of Non-U.S. Currencies</w:t>
      </w:r>
      <w:r>
        <w:rPr>
          <w:rFonts w:ascii="Arial" w:cs="Arial" w:eastAsia="Arial" w:hAnsi="Arial"/>
          <w:sz w:val="18"/>
          <w:szCs w:val="18"/>
          <w:color w:val="auto"/>
        </w:rPr>
        <w:t>. Notwithstanding the foregoing provisions of this Article, if the Securities of any series are payable in a Currency other than U.S. Dollars, the Currency or the nature of the government obligations to be deposited with the Trustee or paying agent under the foregoing provisions of this Article shall be as set forth in the Officer’s Certificate or established in the supplemental indenture under which the Securities of such series are issued.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IMMUNITY OF CERTAIN PERSONS</w:t>
      </w:r>
    </w:p>
    <w:p>
      <w:pPr>
        <w:spacing w:after="0" w:line="256" w:lineRule="exact"/>
        <w:rPr>
          <w:sz w:val="20"/>
          <w:szCs w:val="20"/>
          <w:color w:val="auto"/>
        </w:rPr>
      </w:pPr>
    </w:p>
    <w:p>
      <w:pPr>
        <w:jc w:val="both"/>
        <w:ind w:firstLine="464"/>
        <w:spacing w:after="0" w:line="269" w:lineRule="auto"/>
        <w:rPr>
          <w:sz w:val="20"/>
          <w:szCs w:val="20"/>
          <w:color w:val="auto"/>
        </w:rPr>
      </w:pPr>
      <w:r>
        <w:rPr>
          <w:rFonts w:ascii="Arial" w:cs="Arial" w:eastAsia="Arial" w:hAnsi="Arial"/>
          <w:sz w:val="17"/>
          <w:szCs w:val="17"/>
          <w:color w:val="auto"/>
        </w:rPr>
        <w:t xml:space="preserve">Section 13.01 </w:t>
      </w:r>
      <w:r>
        <w:rPr>
          <w:rFonts w:ascii="Arial" w:cs="Arial" w:eastAsia="Arial" w:hAnsi="Arial"/>
          <w:sz w:val="17"/>
          <w:szCs w:val="17"/>
          <w:u w:val="single" w:color="auto"/>
          <w:color w:val="auto"/>
        </w:rPr>
        <w:t>No Personal Liability</w:t>
      </w:r>
      <w:r>
        <w:rPr>
          <w:rFonts w:ascii="Arial" w:cs="Arial" w:eastAsia="Arial" w:hAnsi="Arial"/>
          <w:sz w:val="17"/>
          <w:szCs w:val="17"/>
          <w:color w:val="auto"/>
        </w:rPr>
        <w:t>. No recourse shall be had for the payment of the principal of, or the premium, if any, or interest on, any Security or for any claim based thereon or otherwise in respect thereof or of the Indebtedness represented thereby, or upon any obligation, covenant or agreement of this Indenture, against any incorporator, stockholder, officer or director, as such, past, present or future, of the Company or of any successor corporation, either directly or through the Company or any successor corporation, whether by virtue of any constitutional provision, statute or rule of law, or by the enforcement of any assessment or penalty or otherwise; it being expressly agreed and understood that this Indenture and the Securities are solely corporate obligations, and that no personal liability whatsoever shall attach to, or be incurred by, any incorporator, stockholder, officer or director, as such, past, present or future, of the Company or of any successor corporation, either directly or through the Company or any successor corporation, because of the incurring of the Indebtedness hereby authorized or under or by reason of any of the obligations, covenants, promises or agreements contained in this Indenture or in any of the Securities, or to be implied herefrom or therefrom, and that all liability, if any, of that character against every such incorporator, stockholder, officer and director is, by the acceptance of the Securities and as a condition of, and as part of the consideration for, the execution of this Indenture and the issue of the Securities expressly waived and released.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INDENTURES</w:t>
      </w:r>
    </w:p>
    <w:p>
      <w:pPr>
        <w:spacing w:after="0" w:line="256" w:lineRule="exact"/>
        <w:rPr>
          <w:sz w:val="20"/>
          <w:szCs w:val="20"/>
          <w:color w:val="auto"/>
        </w:rPr>
      </w:pPr>
    </w:p>
    <w:p>
      <w:pPr>
        <w:jc w:val="both"/>
        <w:ind w:firstLine="666"/>
        <w:spacing w:after="0" w:line="264" w:lineRule="auto"/>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Without Consent of Securityholders</w:t>
      </w:r>
      <w:r>
        <w:rPr>
          <w:rFonts w:ascii="Arial" w:cs="Arial" w:eastAsia="Arial" w:hAnsi="Arial"/>
          <w:sz w:val="18"/>
          <w:szCs w:val="18"/>
          <w:color w:val="auto"/>
        </w:rPr>
        <w:t>. Except as otherwise provided as contemplated by Section 3.01 with respect to any series of Securities, the Company and the Trustee, at any time and from time to time, may enter into one or more indentures supplemental hereto, in form satisfactory to the Trustee, for any one or more of or all the following purposes:</w:t>
      </w:r>
    </w:p>
    <w:p>
      <w:pPr>
        <w:spacing w:after="0" w:line="208" w:lineRule="exact"/>
        <w:rPr>
          <w:sz w:val="20"/>
          <w:szCs w:val="20"/>
          <w:color w:val="auto"/>
        </w:rPr>
      </w:pPr>
    </w:p>
    <w:p>
      <w:pPr>
        <w:jc w:val="both"/>
        <w:ind w:firstLine="516"/>
        <w:spacing w:after="0" w:line="257" w:lineRule="auto"/>
        <w:tabs>
          <w:tab w:leader="none" w:pos="75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add to the covenants and agreements of the Company, to be observed thereafter and during the period, if any, in such supplemental indenture or indentures expressed, and to add Events of Default, in each case for the protection or benefit of the Holders of all or any series of the Securities (and if such covenants, agreements and Events of Default are to be for the benefit of fewer than all series of Securities, stating that such covenants, agreements and Events of Default are expressly being included for the benefit of such series as shall be identified therein), or to surrender any right or power herein conferred upon the Company;</w:t>
      </w:r>
    </w:p>
    <w:p>
      <w:pPr>
        <w:spacing w:after="0" w:line="215" w:lineRule="exact"/>
        <w:rPr>
          <w:rFonts w:ascii="Arial" w:cs="Arial" w:eastAsia="Arial" w:hAnsi="Arial"/>
          <w:sz w:val="18"/>
          <w:szCs w:val="18"/>
          <w:color w:val="auto"/>
        </w:rPr>
      </w:pPr>
    </w:p>
    <w:p>
      <w:pPr>
        <w:jc w:val="both"/>
        <w:ind w:firstLine="597"/>
        <w:spacing w:after="0" w:line="259" w:lineRule="auto"/>
        <w:tabs>
          <w:tab w:leader="none" w:pos="85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delete or modify any Events of Default with respect to all or any series of the Securities, the form and terms of which are being established pursuant to such supplemental indenture as permitted in Section 3.01 (and, if any such Event of Default is applicable to fewer than all such series of the Securities, specifying the series to which such Event of Default is applicable), and to specify the rights and remedies of the Trustee and the Holders of such Securities in connection therewith;</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9" w:name="page70"/>
    <w:bookmarkEnd w:id="69"/>
    <w:p>
      <w:pPr>
        <w:jc w:val="both"/>
        <w:ind w:firstLine="646"/>
        <w:spacing w:after="0" w:line="264" w:lineRule="auto"/>
        <w:tabs>
          <w:tab w:leader="none" w:pos="901" w:val="left"/>
        </w:tabs>
        <w:numPr>
          <w:ilvl w:val="2"/>
          <w:numId w:val="124"/>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to provide, change or eliminate any restrictions on the payment of principal of or premium, if any, on Securities; provided that any such action shall not adversely affect the interests of the Holders of Securities of any series in any material respect;</w:t>
      </w:r>
    </w:p>
    <w:p>
      <w:pPr>
        <w:spacing w:after="0" w:line="208" w:lineRule="exact"/>
        <w:rPr>
          <w:rFonts w:ascii="Arial" w:cs="Arial" w:eastAsia="Arial" w:hAnsi="Arial"/>
          <w:sz w:val="18"/>
          <w:szCs w:val="18"/>
          <w:color w:val="auto"/>
        </w:rPr>
      </w:pPr>
    </w:p>
    <w:p>
      <w:pPr>
        <w:jc w:val="both"/>
        <w:ind w:firstLine="486"/>
        <w:spacing w:after="0" w:line="264" w:lineRule="auto"/>
        <w:tabs>
          <w:tab w:leader="none" w:pos="73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this Indenture; provided that any such change or elimination shall become effective only when there is no Outstanding Security of any series created prior to the execution of such supplemental indenture that is entitled to the benefit of such provision and as to which such supplemental indenture would apply;</w:t>
      </w:r>
    </w:p>
    <w:p>
      <w:pPr>
        <w:spacing w:after="0" w:line="208" w:lineRule="exact"/>
        <w:rPr>
          <w:rFonts w:ascii="Arial" w:cs="Arial" w:eastAsia="Arial" w:hAnsi="Arial"/>
          <w:sz w:val="18"/>
          <w:szCs w:val="18"/>
          <w:color w:val="auto"/>
        </w:rPr>
      </w:pPr>
    </w:p>
    <w:p>
      <w:pPr>
        <w:ind w:firstLine="458"/>
        <w:spacing w:after="0" w:line="308" w:lineRule="auto"/>
        <w:tabs>
          <w:tab w:leader="none" w:pos="69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to evidence the succession of another corporation to the Company, or successive successions, and the assumption by such successor of the covenants and obligations of the Company contained in the Securities of one or more series and in this Indenture or any supplemental indenture;</w:t>
      </w:r>
    </w:p>
    <w:p>
      <w:pPr>
        <w:spacing w:after="0" w:line="173" w:lineRule="exact"/>
        <w:rPr>
          <w:rFonts w:ascii="Arial" w:cs="Arial" w:eastAsia="Arial" w:hAnsi="Arial"/>
          <w:sz w:val="17"/>
          <w:szCs w:val="17"/>
          <w:color w:val="auto"/>
        </w:rPr>
      </w:pPr>
    </w:p>
    <w:p>
      <w:pPr>
        <w:jc w:val="both"/>
        <w:ind w:firstLine="508"/>
        <w:spacing w:after="0" w:line="264" w:lineRule="auto"/>
        <w:tabs>
          <w:tab w:leader="none" w:pos="73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one or more series of Securities and to add to or change any of the provisions of this Indenture as shall be necessary for or facilitate the administration of the trusts hereunder by more than one Trustee, pursuant to the requirements of Section 11.06(c);</w:t>
      </w:r>
    </w:p>
    <w:p>
      <w:pPr>
        <w:spacing w:after="0" w:line="208" w:lineRule="exact"/>
        <w:rPr>
          <w:sz w:val="20"/>
          <w:szCs w:val="20"/>
          <w:color w:val="auto"/>
        </w:rPr>
      </w:pPr>
    </w:p>
    <w:p>
      <w:pPr>
        <w:ind w:left="720" w:hanging="262"/>
        <w:spacing w:after="0"/>
        <w:tabs>
          <w:tab w:leader="none" w:pos="7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secure any series of Securities;</w:t>
      </w:r>
    </w:p>
    <w:p>
      <w:pPr>
        <w:spacing w:after="0" w:line="252" w:lineRule="exact"/>
        <w:rPr>
          <w:rFonts w:ascii="Arial" w:cs="Arial" w:eastAsia="Arial" w:hAnsi="Arial"/>
          <w:sz w:val="18"/>
          <w:szCs w:val="18"/>
          <w:color w:val="auto"/>
        </w:rPr>
      </w:pPr>
    </w:p>
    <w:p>
      <w:pPr>
        <w:ind w:left="720" w:hanging="262"/>
        <w:spacing w:after="0"/>
        <w:tabs>
          <w:tab w:leader="none" w:pos="7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evidence any changes to this Indenture pursuant to Sections 11.05, 11.06 or 11.07 hereof as permitted by the terms thereof;</w:t>
      </w:r>
    </w:p>
    <w:p>
      <w:pPr>
        <w:spacing w:after="0" w:line="252" w:lineRule="exact"/>
        <w:rPr>
          <w:rFonts w:ascii="Arial" w:cs="Arial" w:eastAsia="Arial" w:hAnsi="Arial"/>
          <w:sz w:val="18"/>
          <w:szCs w:val="18"/>
          <w:color w:val="auto"/>
        </w:rPr>
      </w:pPr>
    </w:p>
    <w:p>
      <w:pPr>
        <w:jc w:val="both"/>
        <w:ind w:firstLine="512"/>
        <w:spacing w:after="0" w:line="264" w:lineRule="auto"/>
        <w:tabs>
          <w:tab w:leader="none" w:pos="724"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to cure or reform any ambiguity mistake, manifest error, omission, defect or inconsistency, or to conform the text of any provision herein or in any indenture supplemental hereto to any description thereof in the applicable section of a prospectus, prospectus supplement or other offering document that was intended to be a verbatim recitation of a provision of this Indenture of any indenture supplemental hereto;</w:t>
      </w:r>
    </w:p>
    <w:p>
      <w:pPr>
        <w:spacing w:after="0" w:line="208" w:lineRule="exact"/>
        <w:rPr>
          <w:rFonts w:ascii="Arial" w:cs="Arial" w:eastAsia="Arial" w:hAnsi="Arial"/>
          <w:sz w:val="18"/>
          <w:szCs w:val="18"/>
          <w:color w:val="auto"/>
        </w:rPr>
      </w:pPr>
    </w:p>
    <w:p>
      <w:pPr>
        <w:ind w:firstLine="522"/>
        <w:spacing w:after="0" w:line="277" w:lineRule="auto"/>
        <w:tabs>
          <w:tab w:leader="none" w:pos="735"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to add to or change or eliminate any provision of this Indenture as shall be necessary or desirable in accordance with any amendments to the Trust Indenture Act;</w:t>
      </w:r>
    </w:p>
    <w:p>
      <w:pPr>
        <w:spacing w:after="0" w:line="197" w:lineRule="exact"/>
        <w:rPr>
          <w:sz w:val="20"/>
          <w:szCs w:val="20"/>
          <w:color w:val="auto"/>
        </w:rPr>
      </w:pPr>
    </w:p>
    <w:p>
      <w:pPr>
        <w:ind w:left="720" w:hanging="262"/>
        <w:spacing w:after="0"/>
        <w:tabs>
          <w:tab w:leader="none" w:pos="7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add guarantors or co-obligors with respect to any series of Securities;</w:t>
      </w:r>
    </w:p>
    <w:p>
      <w:pPr>
        <w:spacing w:after="0" w:line="252" w:lineRule="exact"/>
        <w:rPr>
          <w:rFonts w:ascii="Arial" w:cs="Arial" w:eastAsia="Arial" w:hAnsi="Arial"/>
          <w:sz w:val="18"/>
          <w:szCs w:val="18"/>
          <w:color w:val="auto"/>
        </w:rPr>
      </w:pPr>
    </w:p>
    <w:p>
      <w:pPr>
        <w:ind w:left="680" w:hanging="222"/>
        <w:spacing w:after="0"/>
        <w:tabs>
          <w:tab w:leader="none" w:pos="6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to make any change in any series of Securities that does not adversely affect in any material respect the interests of the Holders of such Securities;</w:t>
      </w:r>
    </w:p>
    <w:p>
      <w:pPr>
        <w:spacing w:after="0" w:line="275" w:lineRule="exact"/>
        <w:rPr>
          <w:rFonts w:ascii="Arial" w:cs="Arial" w:eastAsia="Arial" w:hAnsi="Arial"/>
          <w:sz w:val="16"/>
          <w:szCs w:val="16"/>
          <w:color w:val="auto"/>
        </w:rPr>
      </w:pPr>
    </w:p>
    <w:p>
      <w:pPr>
        <w:ind w:left="760" w:hanging="302"/>
        <w:spacing w:after="0"/>
        <w:tabs>
          <w:tab w:leader="none" w:pos="7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certificated securities;</w:t>
      </w:r>
    </w:p>
    <w:p>
      <w:pPr>
        <w:spacing w:after="0" w:line="252" w:lineRule="exact"/>
        <w:rPr>
          <w:sz w:val="20"/>
          <w:szCs w:val="20"/>
          <w:color w:val="auto"/>
        </w:rPr>
      </w:pPr>
    </w:p>
    <w:p>
      <w:pPr>
        <w:jc w:val="both"/>
        <w:ind w:firstLine="488"/>
        <w:spacing w:after="0" w:line="264" w:lineRule="auto"/>
        <w:tabs>
          <w:tab w:leader="none" w:pos="73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to supplement any of the provisions of this Indenture to such extent as shall be necessary to permit or facilitate the defeasance and discharge of any series of Securities; provided that any such action shall not adversely affect the interests of the Holders of Securities of such series or any other series of Securities;</w:t>
      </w:r>
    </w:p>
    <w:p>
      <w:pPr>
        <w:spacing w:after="0" w:line="208" w:lineRule="exact"/>
        <w:rPr>
          <w:rFonts w:ascii="Arial" w:cs="Arial" w:eastAsia="Arial" w:hAnsi="Arial"/>
          <w:sz w:val="18"/>
          <w:szCs w:val="18"/>
          <w:color w:val="auto"/>
        </w:rPr>
      </w:pPr>
    </w:p>
    <w:p>
      <w:pPr>
        <w:ind w:left="720" w:hanging="262"/>
        <w:spacing w:after="0"/>
        <w:tabs>
          <w:tab w:leader="none" w:pos="7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prohibit the authentication and delivery of additional series of Securities; or</w:t>
      </w:r>
    </w:p>
    <w:p>
      <w:pPr>
        <w:spacing w:after="0" w:line="252" w:lineRule="exact"/>
        <w:rPr>
          <w:rFonts w:ascii="Arial" w:cs="Arial" w:eastAsia="Arial" w:hAnsi="Arial"/>
          <w:sz w:val="18"/>
          <w:szCs w:val="18"/>
          <w:color w:val="auto"/>
        </w:rPr>
      </w:pPr>
    </w:p>
    <w:p>
      <w:pPr>
        <w:jc w:val="both"/>
        <w:ind w:firstLine="574"/>
        <w:spacing w:after="0" w:line="286" w:lineRule="auto"/>
        <w:tabs>
          <w:tab w:leader="none" w:pos="833" w:val="left"/>
        </w:tabs>
        <w:numPr>
          <w:ilvl w:val="2"/>
          <w:numId w:val="130"/>
        </w:numPr>
        <w:rPr>
          <w:rFonts w:ascii="Arial" w:cs="Arial" w:eastAsia="Arial" w:hAnsi="Arial"/>
          <w:sz w:val="17"/>
          <w:szCs w:val="17"/>
          <w:color w:val="auto"/>
        </w:rPr>
      </w:pPr>
      <w:r>
        <w:rPr>
          <w:rFonts w:ascii="Arial" w:cs="Arial" w:eastAsia="Arial" w:hAnsi="Arial"/>
          <w:sz w:val="17"/>
          <w:szCs w:val="17"/>
          <w:color w:val="auto"/>
        </w:rPr>
        <w:t>to establish the form and terms of Securities of any series as permitted in Section 3.01, or to authorize the issuance of additional Securities of a series previously authorized or to add to the conditions, limitations or restrictions on the authorized amount, terms or purposes of issue, authentication or delivery of the Securities of any series, as herein set forth, or other conditions, limitations or restrictions thereafter to be observed.</w:t>
      </w:r>
    </w:p>
    <w:p>
      <w:pPr>
        <w:spacing w:after="0" w:line="193" w:lineRule="exact"/>
        <w:rPr>
          <w:sz w:val="20"/>
          <w:szCs w:val="20"/>
          <w:color w:val="auto"/>
        </w:rPr>
      </w:pPr>
    </w:p>
    <w:p>
      <w:pPr>
        <w:jc w:val="both"/>
        <w:ind w:firstLine="502"/>
        <w:spacing w:after="0" w:line="264" w:lineRule="auto"/>
        <w:rPr>
          <w:sz w:val="20"/>
          <w:szCs w:val="20"/>
          <w:color w:val="auto"/>
        </w:rPr>
      </w:pPr>
      <w:r>
        <w:rPr>
          <w:rFonts w:ascii="Arial" w:cs="Arial" w:eastAsia="Arial" w:hAnsi="Arial"/>
          <w:sz w:val="18"/>
          <w:szCs w:val="18"/>
          <w:color w:val="auto"/>
        </w:rPr>
        <w:t>Subject to the provisions of Section 14.03, the Trustee is authorized to join with the Company in the execution of any such supplemental indenture, to make the further agreements and stipulations which may be therein contained and to accept the conveyance, transfer, assignment, mortgage or pledge of any property or assets thereunder.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0" w:name="page71"/>
    <w:bookmarkEnd w:id="70"/>
    <w:p>
      <w:pPr>
        <w:ind w:firstLine="444"/>
        <w:spacing w:after="0" w:line="277" w:lineRule="auto"/>
        <w:rPr>
          <w:sz w:val="20"/>
          <w:szCs w:val="20"/>
          <w:color w:val="auto"/>
        </w:rPr>
      </w:pPr>
      <w:r>
        <w:rPr>
          <w:rFonts w:ascii="Arial" w:cs="Arial" w:eastAsia="Arial" w:hAnsi="Arial"/>
          <w:sz w:val="18"/>
          <w:szCs w:val="18"/>
          <w:color w:val="auto"/>
        </w:rPr>
        <w:t>Any supplemental indenture authorized by the provisions of this Section 14.01 may be executed by the Company and the Trustee without the consent of the Holders of any of the Securities at the time Outstanding, notwithstanding any of the provisions of Section 14.02.</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14.02 With Consent of Securityholders; Limitations.</w:t>
      </w:r>
    </w:p>
    <w:p>
      <w:pPr>
        <w:spacing w:after="0" w:line="252" w:lineRule="exact"/>
        <w:rPr>
          <w:sz w:val="20"/>
          <w:szCs w:val="20"/>
          <w:color w:val="auto"/>
        </w:rPr>
      </w:pPr>
    </w:p>
    <w:p>
      <w:pPr>
        <w:jc w:val="both"/>
        <w:ind w:firstLine="474"/>
        <w:spacing w:after="0" w:line="297" w:lineRule="auto"/>
        <w:tabs>
          <w:tab w:leader="none" w:pos="70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With the consent of the Holders (evidenced as provided in Article VIII) of a majority in aggregate principal amount of the Outstanding Securities of each series affected by such supplemental indenture voting separately, the Company and the Trustee may, from time to time and at any time, enter into an indenture or indentures supplemental hereto for the purpose of adding any provisions to or changing in any manner or eliminating any provisions of this Indenture or of modifying in any manner the rights of the Holders of the Securities of such series to be affected; provided, however, that no such supplemental indenture shall, without the consent of the Holder of each Outstanding Security of each such series affected thereby,</w:t>
      </w:r>
    </w:p>
    <w:p>
      <w:pPr>
        <w:spacing w:after="0" w:line="185" w:lineRule="exact"/>
        <w:rPr>
          <w:rFonts w:ascii="Arial" w:cs="Arial" w:eastAsia="Arial" w:hAnsi="Arial"/>
          <w:sz w:val="16"/>
          <w:szCs w:val="16"/>
          <w:color w:val="auto"/>
        </w:rPr>
      </w:pPr>
    </w:p>
    <w:p>
      <w:pPr>
        <w:jc w:val="both"/>
        <w:ind w:firstLine="1068"/>
        <w:spacing w:after="0" w:line="273" w:lineRule="auto"/>
        <w:tabs>
          <w:tab w:leader="none" w:pos="1283" w:val="left"/>
        </w:tabs>
        <w:numPr>
          <w:ilvl w:val="1"/>
          <w:numId w:val="131"/>
        </w:numPr>
        <w:rPr>
          <w:rFonts w:ascii="Arial" w:cs="Arial" w:eastAsia="Arial" w:hAnsi="Arial"/>
          <w:sz w:val="17"/>
          <w:szCs w:val="17"/>
          <w:color w:val="auto"/>
        </w:rPr>
      </w:pPr>
      <w:r>
        <w:rPr>
          <w:rFonts w:ascii="Arial" w:cs="Arial" w:eastAsia="Arial" w:hAnsi="Arial"/>
          <w:sz w:val="17"/>
          <w:szCs w:val="17"/>
          <w:color w:val="auto"/>
        </w:rPr>
        <w:t>extend the Stated Maturity of the principal of, or any installment of interest on, any Security, or reduce the principal amount thereof or the interest thereon or any premium payable upon redemption thereof, or extend the Stated Maturity of, or change the Currency in which the principal of and premium, if any, or interest on such Security is denominated or payable, or reduce the amount of the principal of an Original Issue Discount Security that would be due and payable upon a declaration of acceleration of the Maturity thereof pursuant to Section 7.02, or impair the right to institute suit for the enforcement of any payment on or after the Stated Maturity thereof (or, in the case of redemption, on or after the Redemption Date), or materially adversely affect the economic terms of any right to convert or exchange any Security as may be provided pursuant to Section 3.01; or</w:t>
      </w:r>
    </w:p>
    <w:p>
      <w:pPr>
        <w:spacing w:after="0" w:line="205" w:lineRule="exact"/>
        <w:rPr>
          <w:rFonts w:ascii="Arial" w:cs="Arial" w:eastAsia="Arial" w:hAnsi="Arial"/>
          <w:sz w:val="17"/>
          <w:szCs w:val="17"/>
          <w:color w:val="auto"/>
        </w:rPr>
      </w:pPr>
    </w:p>
    <w:p>
      <w:pPr>
        <w:jc w:val="both"/>
        <w:ind w:firstLine="1165"/>
        <w:spacing w:after="0" w:line="264" w:lineRule="auto"/>
        <w:tabs>
          <w:tab w:leader="none" w:pos="1435" w:val="left"/>
        </w:tabs>
        <w:numPr>
          <w:ilvl w:val="2"/>
          <w:numId w:val="131"/>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supplemental indenture, or the consent of whose Holders is required for any waiver of compliance with certain provisions of this Indenture or certain Defaults hereunder and their consequences provided for in this Indenture; or</w:t>
      </w:r>
    </w:p>
    <w:p>
      <w:pPr>
        <w:spacing w:after="0" w:line="208" w:lineRule="exact"/>
        <w:rPr>
          <w:sz w:val="20"/>
          <w:szCs w:val="20"/>
          <w:color w:val="auto"/>
        </w:rPr>
      </w:pPr>
    </w:p>
    <w:p>
      <w:pPr>
        <w:jc w:val="both"/>
        <w:ind w:firstLine="1031"/>
        <w:spacing w:after="0" w:line="257" w:lineRule="auto"/>
        <w:tabs>
          <w:tab w:leader="none" w:pos="1344" w:val="left"/>
        </w:tabs>
        <w:numPr>
          <w:ilvl w:val="4"/>
          <w:numId w:val="132"/>
        </w:numPr>
        <w:rPr>
          <w:rFonts w:ascii="Arial" w:cs="Arial" w:eastAsia="Arial" w:hAnsi="Arial"/>
          <w:sz w:val="18"/>
          <w:szCs w:val="18"/>
          <w:color w:val="auto"/>
        </w:rPr>
      </w:pPr>
      <w:r>
        <w:rPr>
          <w:rFonts w:ascii="Arial" w:cs="Arial" w:eastAsia="Arial" w:hAnsi="Arial"/>
          <w:sz w:val="18"/>
          <w:szCs w:val="18"/>
          <w:color w:val="auto"/>
        </w:rPr>
        <w:t>modify any of the provisions of this Section 14.02, Section 7.06 or Section 6.06,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14.02 and Section 6.06, or the deletion of this proviso, in accordance with the requirements of Sections 11.06 and 14.01(f); or</w:t>
      </w:r>
    </w:p>
    <w:p>
      <w:pPr>
        <w:spacing w:after="0" w:line="215" w:lineRule="exact"/>
        <w:rPr>
          <w:rFonts w:ascii="Arial" w:cs="Arial" w:eastAsia="Arial" w:hAnsi="Arial"/>
          <w:sz w:val="18"/>
          <w:szCs w:val="18"/>
          <w:color w:val="auto"/>
        </w:rPr>
      </w:pPr>
    </w:p>
    <w:p>
      <w:pPr>
        <w:ind w:left="1220" w:hanging="312"/>
        <w:spacing w:after="0"/>
        <w:tabs>
          <w:tab w:leader="none" w:pos="1220" w:val="left"/>
        </w:tabs>
        <w:numPr>
          <w:ilvl w:val="3"/>
          <w:numId w:val="133"/>
        </w:numPr>
        <w:rPr>
          <w:rFonts w:ascii="Arial" w:cs="Arial" w:eastAsia="Arial" w:hAnsi="Arial"/>
          <w:sz w:val="18"/>
          <w:szCs w:val="18"/>
          <w:color w:val="auto"/>
        </w:rPr>
      </w:pPr>
      <w:r>
        <w:rPr>
          <w:rFonts w:ascii="Arial" w:cs="Arial" w:eastAsia="Arial" w:hAnsi="Arial"/>
          <w:sz w:val="18"/>
          <w:szCs w:val="18"/>
          <w:color w:val="auto"/>
        </w:rPr>
        <w:t>modify, without the written consent of the Trustee, the rights, duties or immunities of the Trustee.</w:t>
      </w:r>
    </w:p>
    <w:p>
      <w:pPr>
        <w:spacing w:after="0" w:line="252" w:lineRule="exact"/>
        <w:rPr>
          <w:rFonts w:ascii="Arial" w:cs="Arial" w:eastAsia="Arial" w:hAnsi="Arial"/>
          <w:sz w:val="18"/>
          <w:szCs w:val="18"/>
          <w:color w:val="auto"/>
        </w:rPr>
      </w:pPr>
    </w:p>
    <w:p>
      <w:pPr>
        <w:jc w:val="both"/>
        <w:ind w:firstLine="483"/>
        <w:spacing w:after="0" w:line="264" w:lineRule="auto"/>
        <w:tabs>
          <w:tab w:leader="none" w:pos="722"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 supplemental indenture that changes or eliminates any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208" w:lineRule="exact"/>
        <w:rPr>
          <w:rFonts w:ascii="Arial" w:cs="Arial" w:eastAsia="Arial" w:hAnsi="Arial"/>
          <w:sz w:val="18"/>
          <w:szCs w:val="18"/>
          <w:color w:val="auto"/>
        </w:rPr>
      </w:pPr>
    </w:p>
    <w:p>
      <w:pPr>
        <w:ind w:firstLine="466"/>
        <w:spacing w:after="0" w:line="277" w:lineRule="auto"/>
        <w:tabs>
          <w:tab w:leader="none" w:pos="70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It shall not be necessary for the consent of the Securityholders under this Section 14.02 to approve the particular form of any proposed supplemental indenture, but it shall be sufficient if such consent shall approve the substance thereof.</w:t>
      </w:r>
    </w:p>
    <w:p>
      <w:pPr>
        <w:spacing w:after="0" w:line="197" w:lineRule="exact"/>
        <w:rPr>
          <w:rFonts w:ascii="Arial" w:cs="Arial" w:eastAsia="Arial" w:hAnsi="Arial"/>
          <w:sz w:val="18"/>
          <w:szCs w:val="18"/>
          <w:color w:val="auto"/>
        </w:rPr>
      </w:pPr>
    </w:p>
    <w:p>
      <w:pPr>
        <w:jc w:val="both"/>
        <w:ind w:firstLine="552"/>
        <w:spacing w:after="0" w:line="259" w:lineRule="auto"/>
        <w:tabs>
          <w:tab w:leader="none" w:pos="805" w:val="left"/>
        </w:tabs>
        <w:numPr>
          <w:ilvl w:val="2"/>
          <w:numId w:val="135"/>
        </w:numPr>
        <w:rPr>
          <w:rFonts w:ascii="Arial" w:cs="Arial" w:eastAsia="Arial" w:hAnsi="Arial"/>
          <w:sz w:val="18"/>
          <w:szCs w:val="18"/>
          <w:color w:val="auto"/>
        </w:rPr>
      </w:pPr>
      <w:r>
        <w:rPr>
          <w:rFonts w:ascii="Arial" w:cs="Arial" w:eastAsia="Arial" w:hAnsi="Arial"/>
          <w:sz w:val="18"/>
          <w:szCs w:val="18"/>
          <w:color w:val="auto"/>
        </w:rPr>
        <w:t>The Company may set a record date for purposes of determining the identity of the Holders of each series of Securities entitled to give a written consent or waive compliance by the Company as authorized or permitted by this Section 14.02. Such record date shall not be more than 30 days prior to the first solicitation of such consent or waiver or the date of the most recent list of Holders furnished to the Trustee prior to such solicitation pursuant to Section 312 of the Trust Indenture Act.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1" w:name="page72"/>
    <w:bookmarkEnd w:id="71"/>
    <w:p>
      <w:pPr>
        <w:jc w:val="both"/>
        <w:ind w:firstLine="544"/>
        <w:spacing w:after="0" w:line="259" w:lineRule="auto"/>
        <w:tabs>
          <w:tab w:leader="none" w:pos="78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Promptly after the execution by the Company and the Trustee of any supplemental indenture pursuant to the provisions of this Section 14.02, the Company shall mail a notice, setting forth in general terms the substance of such supplemental indenture, to the Holders of Securities at their addresses as the same shall then appear in the Register of the Company. Any failure of the Company to mail such notice, or any defect therein, shall not, however, in any way impair or affect the validity of any such supplemental indenture.</w:t>
      </w:r>
    </w:p>
    <w:p>
      <w:pPr>
        <w:spacing w:after="0" w:line="214" w:lineRule="exact"/>
        <w:rPr>
          <w:sz w:val="20"/>
          <w:szCs w:val="20"/>
          <w:color w:val="auto"/>
        </w:rPr>
      </w:pPr>
    </w:p>
    <w:p>
      <w:pPr>
        <w:jc w:val="both"/>
        <w:ind w:firstLine="612"/>
        <w:spacing w:after="0" w:line="255" w:lineRule="auto"/>
        <w:rPr>
          <w:sz w:val="20"/>
          <w:szCs w:val="20"/>
          <w:color w:val="auto"/>
        </w:rPr>
      </w:pPr>
      <w:r>
        <w:rPr>
          <w:rFonts w:ascii="Arial" w:cs="Arial" w:eastAsia="Arial" w:hAnsi="Arial"/>
          <w:sz w:val="18"/>
          <w:szCs w:val="18"/>
          <w:color w:val="auto"/>
        </w:rPr>
        <w:t xml:space="preserve">Section 14.03 </w:t>
      </w:r>
      <w:r>
        <w:rPr>
          <w:rFonts w:ascii="Arial" w:cs="Arial" w:eastAsia="Arial" w:hAnsi="Arial"/>
          <w:sz w:val="18"/>
          <w:szCs w:val="18"/>
          <w:u w:val="single" w:color="auto"/>
          <w:color w:val="auto"/>
        </w:rPr>
        <w:t>Trustee Protected</w:t>
      </w:r>
      <w:r>
        <w:rPr>
          <w:rFonts w:ascii="Arial" w:cs="Arial" w:eastAsia="Arial" w:hAnsi="Arial"/>
          <w:sz w:val="18"/>
          <w:szCs w:val="18"/>
          <w:color w:val="auto"/>
        </w:rPr>
        <w:t>. Upon the request of the Company, accompanied by the Officer’s Certificate and Opinion of Counsel required by Section 15.01 stating that the execution of such supplemental indenture is authorized or permitted by this Indenture, and evidence reasonably satisfactory to the Trustee of consent of the Holders if the supplemental indenture is to be executed pursuant to Section 14.02, the Trustee shall join with the Company in the execution of said supplemental indenture unless said supplemental indenture affects the Trustee’s own rights, duties or immunities under this Indenture or otherwise, in which case the Trustee may in its discretion, but shall not be obligated to, enter into said supplemental indenture. The Trustee shall be fully protected in relying upon such Officer’s Certificate and an Opinion of Counsel.</w:t>
      </w:r>
    </w:p>
    <w:p>
      <w:pPr>
        <w:spacing w:after="0" w:line="220" w:lineRule="exact"/>
        <w:rPr>
          <w:sz w:val="20"/>
          <w:szCs w:val="20"/>
          <w:color w:val="auto"/>
        </w:rPr>
      </w:pPr>
    </w:p>
    <w:p>
      <w:pPr>
        <w:jc w:val="both"/>
        <w:ind w:firstLine="585"/>
        <w:spacing w:after="0" w:line="255" w:lineRule="auto"/>
        <w:rPr>
          <w:sz w:val="20"/>
          <w:szCs w:val="20"/>
          <w:color w:val="auto"/>
        </w:rPr>
      </w:pPr>
      <w:r>
        <w:rPr>
          <w:rFonts w:ascii="Arial" w:cs="Arial" w:eastAsia="Arial" w:hAnsi="Arial"/>
          <w:sz w:val="18"/>
          <w:szCs w:val="18"/>
          <w:color w:val="auto"/>
        </w:rPr>
        <w:t xml:space="preserve">Section 14.04 </w:t>
      </w:r>
      <w:r>
        <w:rPr>
          <w:rFonts w:ascii="Arial" w:cs="Arial" w:eastAsia="Arial" w:hAnsi="Arial"/>
          <w:sz w:val="18"/>
          <w:szCs w:val="18"/>
          <w:u w:val="single" w:color="auto"/>
          <w:color w:val="auto"/>
        </w:rPr>
        <w:t>Effect of Execution of Supplemental Indenture</w:t>
      </w:r>
      <w:r>
        <w:rPr>
          <w:rFonts w:ascii="Arial" w:cs="Arial" w:eastAsia="Arial" w:hAnsi="Arial"/>
          <w:sz w:val="18"/>
          <w:szCs w:val="18"/>
          <w:color w:val="auto"/>
        </w:rPr>
        <w:t>. Upon the execution of any supplemental indenture pursuant to the provisions of this Article XIV, this Indenture shall be deemed to be modified and amended in accordance therewith and, except as herein otherwise expressly provided, the respective rights, limitations of rights, obligations, duties and immunities under this Indenture of the Trustee, the Company and the Holders of all of the Securities or of the Securities of any series affected, as the case may be,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220" w:lineRule="exact"/>
        <w:rPr>
          <w:sz w:val="20"/>
          <w:szCs w:val="20"/>
          <w:color w:val="auto"/>
        </w:rPr>
      </w:pPr>
    </w:p>
    <w:p>
      <w:pPr>
        <w:jc w:val="both"/>
        <w:ind w:firstLine="612"/>
        <w:spacing w:after="0" w:line="255" w:lineRule="auto"/>
        <w:rPr>
          <w:sz w:val="20"/>
          <w:szCs w:val="20"/>
          <w:color w:val="auto"/>
        </w:rPr>
      </w:pPr>
      <w:r>
        <w:rPr>
          <w:rFonts w:ascii="Arial" w:cs="Arial" w:eastAsia="Arial" w:hAnsi="Arial"/>
          <w:sz w:val="18"/>
          <w:szCs w:val="18"/>
          <w:color w:val="auto"/>
        </w:rPr>
        <w:t xml:space="preserve">Section 14.05 </w:t>
      </w:r>
      <w:r>
        <w:rPr>
          <w:rFonts w:ascii="Arial" w:cs="Arial" w:eastAsia="Arial" w:hAnsi="Arial"/>
          <w:sz w:val="18"/>
          <w:szCs w:val="18"/>
          <w:u w:val="single" w:color="auto"/>
          <w:color w:val="auto"/>
        </w:rPr>
        <w:t>Notation on or Exchange of Securities</w:t>
      </w:r>
      <w:r>
        <w:rPr>
          <w:rFonts w:ascii="Arial" w:cs="Arial" w:eastAsia="Arial" w:hAnsi="Arial"/>
          <w:sz w:val="18"/>
          <w:szCs w:val="18"/>
          <w:color w:val="auto"/>
        </w:rPr>
        <w:t>. Securities of any series authenticated and delivered after the execution of any supplemental indenture pursuant to the provisions of this Article may bear a notation in the form approved by the Trustee as to any matter provided for in such supplemental indenture. If the Company or the Trustee shall so determine, new Securities so modified as to conform, in the opinion of the Trustee and the Board of Directors of the Company, to any modification of this Indenture contained in any such supplemental indenture may be prepared and executed by the Company and authenticated and delivered by the Trustee in exchange for the Securities then Outstanding in equal aggregate principal amounts, and such exchange shall be made without cost to the Holders of the Securities.</w:t>
      </w:r>
    </w:p>
    <w:p>
      <w:pPr>
        <w:spacing w:after="0" w:line="220"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 xml:space="preserve">Section 14.06 </w:t>
      </w:r>
      <w:r>
        <w:rPr>
          <w:rFonts w:ascii="Arial" w:cs="Arial" w:eastAsia="Arial" w:hAnsi="Arial"/>
          <w:sz w:val="18"/>
          <w:szCs w:val="18"/>
          <w:u w:val="single" w:color="auto"/>
          <w:color w:val="auto"/>
        </w:rPr>
        <w:t>Conformity with the Trust Indenture Act</w:t>
      </w:r>
      <w:r>
        <w:rPr>
          <w:rFonts w:ascii="Arial" w:cs="Arial" w:eastAsia="Arial" w:hAnsi="Arial"/>
          <w:sz w:val="18"/>
          <w:szCs w:val="18"/>
          <w:color w:val="auto"/>
        </w:rPr>
        <w:t>. Every supplemental indenture executed pursuant to the provisions of this Article shall conform to the requirements of the Trust Indenture Act as then in effect.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w:t>
      </w:r>
    </w:p>
    <w:p>
      <w:pPr>
        <w:spacing w:after="0" w:line="252"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MISCELLANEOUS PROVISIONS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u w:val="single" w:color="auto"/>
          <w:color w:val="auto"/>
        </w:rPr>
        <w:t>Certificates and Opinions as to Conditions Precedent</w:t>
      </w:r>
      <w:r>
        <w:rPr>
          <w:rFonts w:ascii="Arial" w:cs="Arial" w:eastAsia="Arial" w:hAnsi="Arial"/>
          <w:sz w:val="18"/>
          <w:szCs w:val="18"/>
          <w:color w:val="auto"/>
        </w:rPr>
        <w:t>.</w:t>
      </w:r>
    </w:p>
    <w:p>
      <w:pPr>
        <w:spacing w:after="0" w:line="252" w:lineRule="exact"/>
        <w:rPr>
          <w:sz w:val="20"/>
          <w:szCs w:val="20"/>
          <w:color w:val="auto"/>
        </w:rPr>
      </w:pPr>
    </w:p>
    <w:p>
      <w:pPr>
        <w:jc w:val="both"/>
        <w:ind w:firstLine="496"/>
        <w:spacing w:after="0" w:line="276" w:lineRule="auto"/>
        <w:tabs>
          <w:tab w:leader="none" w:pos="73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Upon any request or application by the Company to the Trustee to take any action under any of the provisions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 is specifically required by any provision of this Indenture relating to such particular application or demand, no additional certificate or opinion need be furnished.</w:t>
      </w:r>
    </w:p>
    <w:p>
      <w:pPr>
        <w:spacing w:after="0" w:line="199" w:lineRule="exact"/>
        <w:rPr>
          <w:rFonts w:ascii="Arial" w:cs="Arial" w:eastAsia="Arial" w:hAnsi="Arial"/>
          <w:sz w:val="17"/>
          <w:szCs w:val="17"/>
          <w:color w:val="auto"/>
        </w:rPr>
      </w:pPr>
    </w:p>
    <w:p>
      <w:pPr>
        <w:jc w:val="both"/>
        <w:ind w:firstLine="609"/>
        <w:spacing w:after="0" w:line="293" w:lineRule="auto"/>
        <w:tabs>
          <w:tab w:leader="none" w:pos="871" w:val="left"/>
        </w:tabs>
        <w:numPr>
          <w:ilvl w:val="1"/>
          <w:numId w:val="137"/>
        </w:numPr>
        <w:rPr>
          <w:rFonts w:ascii="Arial" w:cs="Arial" w:eastAsia="Arial" w:hAnsi="Arial"/>
          <w:sz w:val="16"/>
          <w:szCs w:val="16"/>
          <w:color w:val="auto"/>
        </w:rPr>
      </w:pPr>
      <w:r>
        <w:rPr>
          <w:rFonts w:ascii="Arial" w:cs="Arial" w:eastAsia="Arial" w:hAnsi="Arial"/>
          <w:sz w:val="16"/>
          <w:szCs w:val="16"/>
          <w:color w:val="auto"/>
        </w:rPr>
        <w:t>Each certificate or opinion provided for in this Indenture and delivered to the Trustee with respect to compliance with a condition or covenant provided for in this Indenture (other than the certificates provided pursuant to Section 6.05) shall include: (i) a statement that the Person giving such certificate or opinion has read such covenant or condition; (ii) a brief statement as to the nature and scope of the examination or investigation upon which the statements or opinions contained in such certificate or opinion are based; (iii) a statement that, in the view or opinion of such Person, he or she has made such examination or investigation as is necessary to enable such Person to express an informed view or opinion as to whether or not such covenant or condition has been complied with; and (iv) a statement as to whether or not, in the view or opinion of such Person, such condition or covenant has been complied with.</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2" w:name="page73"/>
    <w:bookmarkEnd w:id="72"/>
    <w:p>
      <w:pPr>
        <w:jc w:val="both"/>
        <w:ind w:firstLine="511"/>
        <w:spacing w:after="0" w:line="293" w:lineRule="auto"/>
        <w:tabs>
          <w:tab w:leader="none" w:pos="74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Any certificate, statement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statement or opinion is based are erroneous. Any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unless such counsel knows, or in the exercise of reasonable care should know, that the certificate, statement or opinion or representations with respect to such matters are erroneous.</w:t>
      </w:r>
    </w:p>
    <w:p>
      <w:pPr>
        <w:spacing w:after="0" w:line="191" w:lineRule="exact"/>
        <w:rPr>
          <w:rFonts w:ascii="Arial" w:cs="Arial" w:eastAsia="Arial" w:hAnsi="Arial"/>
          <w:sz w:val="16"/>
          <w:szCs w:val="16"/>
          <w:color w:val="auto"/>
        </w:rPr>
      </w:pPr>
    </w:p>
    <w:p>
      <w:pPr>
        <w:jc w:val="both"/>
        <w:ind w:firstLine="529"/>
        <w:spacing w:after="0" w:line="257" w:lineRule="auto"/>
        <w:tabs>
          <w:tab w:leader="none" w:pos="773" w:val="left"/>
        </w:tabs>
        <w:numPr>
          <w:ilvl w:val="2"/>
          <w:numId w:val="138"/>
        </w:numPr>
        <w:rPr>
          <w:rFonts w:ascii="Arial" w:cs="Arial" w:eastAsia="Arial" w:hAnsi="Arial"/>
          <w:sz w:val="18"/>
          <w:szCs w:val="18"/>
          <w:color w:val="auto"/>
        </w:rPr>
      </w:pPr>
      <w:r>
        <w:rPr>
          <w:rFonts w:ascii="Arial" w:cs="Arial" w:eastAsia="Arial" w:hAnsi="Arial"/>
          <w:sz w:val="18"/>
          <w:szCs w:val="18"/>
          <w:color w:val="auto"/>
        </w:rPr>
        <w:t>Any certificate, statement or opinion of an officer of the Company or of counsel to the Company may be based, insofar as it relates to accounting matters, upon a certificate or opinion of, or representations by, an accountant or firm of accountants, unless such officer or counsel, as the case may be, knows, or in the exercise of reasonable care should know, that the certificate or opinion or representations with respect to the accounting matters upon which his or her certificate, statement or opinion may be based are erroneous. Any certificate or opinion of any firm of independent registered public accountants filed with the Trustee shall contain a statement that such firm is independent.</w:t>
      </w:r>
    </w:p>
    <w:p>
      <w:pPr>
        <w:spacing w:after="0" w:line="215" w:lineRule="exact"/>
        <w:rPr>
          <w:rFonts w:ascii="Arial" w:cs="Arial" w:eastAsia="Arial" w:hAnsi="Arial"/>
          <w:sz w:val="18"/>
          <w:szCs w:val="18"/>
          <w:color w:val="auto"/>
        </w:rPr>
      </w:pPr>
    </w:p>
    <w:p>
      <w:pPr>
        <w:jc w:val="both"/>
        <w:ind w:firstLine="501"/>
        <w:spacing w:after="0" w:line="259" w:lineRule="auto"/>
        <w:tabs>
          <w:tab w:leader="none" w:pos="74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213" w:lineRule="exact"/>
        <w:rPr>
          <w:rFonts w:ascii="Arial" w:cs="Arial" w:eastAsia="Arial" w:hAnsi="Arial"/>
          <w:sz w:val="18"/>
          <w:szCs w:val="18"/>
          <w:color w:val="auto"/>
        </w:rPr>
      </w:pPr>
    </w:p>
    <w:p>
      <w:pPr>
        <w:ind w:right="20" w:firstLine="624"/>
        <w:spacing w:after="0" w:line="277" w:lineRule="auto"/>
        <w:tabs>
          <w:tab w:leader="none" w:pos="854" w:val="left"/>
        </w:tabs>
        <w:numPr>
          <w:ilvl w:val="3"/>
          <w:numId w:val="138"/>
        </w:numPr>
        <w:rPr>
          <w:rFonts w:ascii="Arial" w:cs="Arial" w:eastAsia="Arial" w:hAnsi="Arial"/>
          <w:sz w:val="18"/>
          <w:szCs w:val="18"/>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97" w:lineRule="exact"/>
        <w:rPr>
          <w:sz w:val="20"/>
          <w:szCs w:val="20"/>
          <w:color w:val="auto"/>
        </w:rPr>
      </w:pPr>
    </w:p>
    <w:p>
      <w:pPr>
        <w:jc w:val="both"/>
        <w:ind w:firstLine="450"/>
        <w:spacing w:after="0" w:line="264" w:lineRule="auto"/>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Trust Indenture Act Controls</w:t>
      </w:r>
      <w:r>
        <w:rPr>
          <w:rFonts w:ascii="Arial" w:cs="Arial" w:eastAsia="Arial" w:hAnsi="Arial"/>
          <w:sz w:val="18"/>
          <w:szCs w:val="18"/>
          <w:color w:val="auto"/>
        </w:rPr>
        <w:t>. If and to the extent that any provision of this Indenture limits, qualifies or conflicts with the duties imposed by, or another provision included in this Indenture which is required to be included in this Indenture by any of the provisions of Sections 310 to 318, inclusive, of the Trust Indenture Act, such imposed duties or incorporated provision shall control.</w:t>
      </w:r>
    </w:p>
    <w:p>
      <w:pPr>
        <w:spacing w:after="0" w:line="208" w:lineRule="exact"/>
        <w:rPr>
          <w:sz w:val="20"/>
          <w:szCs w:val="20"/>
          <w:color w:val="auto"/>
        </w:rPr>
      </w:pPr>
    </w:p>
    <w:p>
      <w:pPr>
        <w:jc w:val="both"/>
        <w:ind w:firstLine="464"/>
        <w:spacing w:after="0" w:line="308" w:lineRule="auto"/>
        <w:rPr>
          <w:sz w:val="20"/>
          <w:szCs w:val="20"/>
          <w:color w:val="auto"/>
        </w:rPr>
      </w:pPr>
      <w:r>
        <w:rPr>
          <w:rFonts w:ascii="Arial" w:cs="Arial" w:eastAsia="Arial" w:hAnsi="Arial"/>
          <w:sz w:val="17"/>
          <w:szCs w:val="17"/>
          <w:color w:val="auto"/>
        </w:rPr>
        <w:t xml:space="preserve">Section 15.03 </w:t>
      </w:r>
      <w:r>
        <w:rPr>
          <w:rFonts w:ascii="Arial" w:cs="Arial" w:eastAsia="Arial" w:hAnsi="Arial"/>
          <w:sz w:val="17"/>
          <w:szCs w:val="17"/>
          <w:u w:val="single" w:color="auto"/>
          <w:color w:val="auto"/>
        </w:rPr>
        <w:t>Notices to the Company and Trustee</w:t>
      </w:r>
      <w:r>
        <w:rPr>
          <w:rFonts w:ascii="Arial" w:cs="Arial" w:eastAsia="Arial" w:hAnsi="Arial"/>
          <w:sz w:val="17"/>
          <w:szCs w:val="17"/>
          <w:color w:val="auto"/>
        </w:rPr>
        <w:t>. Any notice or demand authorized by this Indenture to be made upon, given or furnished to, or filed with, the Company or the Trustee shall be sufficiently made, given, furnished or filed for all purposes if it shall be mailed, delivered or telefaxed to:</w:t>
      </w:r>
    </w:p>
    <w:p>
      <w:pPr>
        <w:spacing w:after="0" w:line="174" w:lineRule="exact"/>
        <w:rPr>
          <w:sz w:val="20"/>
          <w:szCs w:val="20"/>
          <w:color w:val="auto"/>
        </w:rPr>
      </w:pPr>
    </w:p>
    <w:p>
      <w:pPr>
        <w:ind w:firstLine="483"/>
        <w:spacing w:after="0" w:line="308" w:lineRule="auto"/>
        <w:tabs>
          <w:tab w:leader="none" w:pos="723" w:val="left"/>
        </w:tabs>
        <w:numPr>
          <w:ilvl w:val="1"/>
          <w:numId w:val="139"/>
        </w:numPr>
        <w:rPr>
          <w:rFonts w:ascii="Arial" w:cs="Arial" w:eastAsia="Arial" w:hAnsi="Arial"/>
          <w:sz w:val="17"/>
          <w:szCs w:val="17"/>
          <w:color w:val="auto"/>
        </w:rPr>
      </w:pPr>
      <w:r>
        <w:rPr>
          <w:rFonts w:ascii="Arial" w:cs="Arial" w:eastAsia="Arial" w:hAnsi="Arial"/>
          <w:sz w:val="17"/>
          <w:szCs w:val="17"/>
          <w:color w:val="auto"/>
        </w:rPr>
        <w:t>the Company, at 3101 W. Martin Luther King, Jr. Blvd., Suite 400, Tampa, Florida 33607, Attention: Chief Corporate Counsel, Facsimile No.: 813-222-4464, or at such other address or facsimile number as may have been furnished in writing to the Trustee by the Company.</w:t>
      </w:r>
    </w:p>
    <w:p>
      <w:pPr>
        <w:spacing w:after="0" w:line="173" w:lineRule="exact"/>
        <w:rPr>
          <w:rFonts w:ascii="Arial" w:cs="Arial" w:eastAsia="Arial" w:hAnsi="Arial"/>
          <w:sz w:val="17"/>
          <w:szCs w:val="17"/>
          <w:color w:val="auto"/>
        </w:rPr>
      </w:pPr>
    </w:p>
    <w:p>
      <w:pPr>
        <w:ind w:left="720" w:hanging="262"/>
        <w:spacing w:after="0"/>
        <w:tabs>
          <w:tab w:leader="none" w:pos="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Trustee, at the Corporate Trust Office of the Trustee, Attention: Trust Administrator.</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such notice, demand or other document shall be in the English language.</w:t>
      </w:r>
    </w:p>
    <w:p>
      <w:pPr>
        <w:spacing w:after="0" w:line="252" w:lineRule="exact"/>
        <w:rPr>
          <w:sz w:val="20"/>
          <w:szCs w:val="20"/>
          <w:color w:val="auto"/>
        </w:rPr>
      </w:pPr>
    </w:p>
    <w:p>
      <w:pPr>
        <w:ind w:right="20" w:firstLine="540"/>
        <w:spacing w:after="0" w:line="277" w:lineRule="auto"/>
        <w:rPr>
          <w:sz w:val="20"/>
          <w:szCs w:val="20"/>
          <w:color w:val="auto"/>
        </w:rPr>
      </w:pPr>
      <w:r>
        <w:rPr>
          <w:rFonts w:ascii="Arial" w:cs="Arial" w:eastAsia="Arial" w:hAnsi="Arial"/>
          <w:sz w:val="18"/>
          <w:szCs w:val="18"/>
          <w:color w:val="auto"/>
        </w:rPr>
        <w:t xml:space="preserve">Section 15.04 </w:t>
      </w:r>
      <w:r>
        <w:rPr>
          <w:rFonts w:ascii="Arial" w:cs="Arial" w:eastAsia="Arial" w:hAnsi="Arial"/>
          <w:sz w:val="18"/>
          <w:szCs w:val="18"/>
          <w:u w:val="single" w:color="auto"/>
          <w:color w:val="auto"/>
        </w:rPr>
        <w:t>Notices to Securityholders; Waiver</w:t>
      </w:r>
      <w:r>
        <w:rPr>
          <w:rFonts w:ascii="Arial" w:cs="Arial" w:eastAsia="Arial" w:hAnsi="Arial"/>
          <w:sz w:val="18"/>
          <w:szCs w:val="18"/>
          <w:color w:val="auto"/>
        </w:rPr>
        <w:t>. Any notice required or permitted to be given to Securityholders shall be sufficiently given (unless otherwise herein expressly provided),</w:t>
      </w:r>
    </w:p>
    <w:p>
      <w:pPr>
        <w:spacing w:after="0" w:line="197" w:lineRule="exact"/>
        <w:rPr>
          <w:sz w:val="20"/>
          <w:szCs w:val="20"/>
          <w:color w:val="auto"/>
        </w:rPr>
      </w:pPr>
    </w:p>
    <w:p>
      <w:pPr>
        <w:ind w:firstLine="522"/>
        <w:spacing w:after="0" w:line="277" w:lineRule="auto"/>
        <w:tabs>
          <w:tab w:leader="none" w:pos="76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to Holders, if given in writing by first class mail, postage prepaid, to such Holders at their addresses as the same shall appear on the Register of the Company.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3" w:name="page74"/>
    <w:bookmarkEnd w:id="73"/>
    <w:p>
      <w:pPr>
        <w:ind w:firstLine="648"/>
        <w:spacing w:after="0" w:line="277" w:lineRule="auto"/>
        <w:tabs>
          <w:tab w:leader="none" w:pos="91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In the event of suspension of regular mail service or by reason of any other cause it shall be impracticable to give notice by mail, then such notification as shall be given with the approval of the Trustee shall constitute sufficient notice for every purpose hereunder.</w:t>
      </w:r>
    </w:p>
    <w:p>
      <w:pPr>
        <w:spacing w:after="0" w:line="197" w:lineRule="exact"/>
        <w:rPr>
          <w:rFonts w:ascii="Arial" w:cs="Arial" w:eastAsia="Arial" w:hAnsi="Arial"/>
          <w:sz w:val="18"/>
          <w:szCs w:val="18"/>
          <w:color w:val="auto"/>
        </w:rPr>
      </w:pPr>
    </w:p>
    <w:p>
      <w:pPr>
        <w:jc w:val="both"/>
        <w:ind w:firstLine="520"/>
        <w:spacing w:after="0" w:line="291" w:lineRule="auto"/>
        <w:tabs>
          <w:tab w:leader="none" w:pos="759" w:val="left"/>
        </w:tabs>
        <w:numPr>
          <w:ilvl w:val="0"/>
          <w:numId w:val="143"/>
        </w:numPr>
        <w:rPr>
          <w:rFonts w:ascii="Arial" w:cs="Arial" w:eastAsia="Arial" w:hAnsi="Arial"/>
          <w:sz w:val="16"/>
          <w:szCs w:val="16"/>
          <w:color w:val="auto"/>
        </w:rPr>
      </w:pPr>
      <w:r>
        <w:rPr>
          <w:rFonts w:ascii="Arial" w:cs="Arial" w:eastAsia="Arial" w:hAnsi="Arial"/>
          <w:sz w:val="16"/>
          <w:szCs w:val="16"/>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on such waiver. In any case where notice to Holders is given by mail; neither the failure to mail such notice nor any defect in any notice so mailed to any particular Holder shall affect the sufficiency of such notice with respect to other Holders, and any notice that is mailed in the manner herein provided shall be conclusively presumed to have been duly given. In any case where notice to Holders is given by publication, any defect in any notice so published as to any particular Holder shall not affect the sufficiency of such notice with respect to other Holders, and any notice that is published in the manner herein provided shall be conclusively presumed to have been duly given.</w:t>
      </w:r>
    </w:p>
    <w:p>
      <w:pPr>
        <w:spacing w:after="0" w:line="194"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8"/>
          <w:szCs w:val="18"/>
          <w:color w:val="auto"/>
        </w:rPr>
        <w:t xml:space="preserve">Section 15.05 </w:t>
      </w:r>
      <w:r>
        <w:rPr>
          <w:rFonts w:ascii="Arial" w:cs="Arial" w:eastAsia="Arial" w:hAnsi="Arial"/>
          <w:sz w:val="18"/>
          <w:szCs w:val="18"/>
          <w:u w:val="single" w:color="auto"/>
          <w:color w:val="auto"/>
        </w:rPr>
        <w:t>Legal Holiday</w:t>
      </w:r>
      <w:r>
        <w:rPr>
          <w:rFonts w:ascii="Arial" w:cs="Arial" w:eastAsia="Arial" w:hAnsi="Arial"/>
          <w:sz w:val="18"/>
          <w:szCs w:val="18"/>
          <w:color w:val="auto"/>
        </w:rPr>
        <w:t>. Unless otherwise specified pursuant to Section 3.01, in any case where any Interest Payment Date, Redemption Date or Maturity of any Security of any series shall not be a Business Day at any Place of Payment for the Securities of that series, then payment of principal and premium, if any, or interest need not be made at such Place of Payment on such date, but may be made on the next succeeding Business Day at such Place of Payment with the same force and effect as if made on such Interest Payment Date, Redemption Date or Maturity and no interest shall accrue on such payment for the period from and after such Interest Payment Date, Redemption Date or Maturity, as the case may be, to such Business Day if such payment is made or duly provided for on such Business Day.</w:t>
      </w:r>
    </w:p>
    <w:p>
      <w:pPr>
        <w:spacing w:after="0" w:line="220" w:lineRule="exact"/>
        <w:rPr>
          <w:sz w:val="20"/>
          <w:szCs w:val="20"/>
          <w:color w:val="auto"/>
        </w:rPr>
      </w:pPr>
    </w:p>
    <w:p>
      <w:pPr>
        <w:jc w:val="both"/>
        <w:ind w:right="20" w:firstLine="491"/>
        <w:spacing w:after="0" w:line="277" w:lineRule="auto"/>
        <w:rPr>
          <w:sz w:val="20"/>
          <w:szCs w:val="20"/>
          <w:color w:val="auto"/>
        </w:rPr>
      </w:pPr>
      <w:r>
        <w:rPr>
          <w:rFonts w:ascii="Arial" w:cs="Arial" w:eastAsia="Arial" w:hAnsi="Arial"/>
          <w:sz w:val="18"/>
          <w:szCs w:val="18"/>
          <w:color w:val="auto"/>
        </w:rPr>
        <w:t xml:space="preserve">Section 15.06 </w:t>
      </w:r>
      <w:r>
        <w:rPr>
          <w:rFonts w:ascii="Arial" w:cs="Arial" w:eastAsia="Arial" w:hAnsi="Arial"/>
          <w:sz w:val="18"/>
          <w:szCs w:val="18"/>
          <w:u w:val="single" w:color="auto"/>
          <w:color w:val="auto"/>
        </w:rPr>
        <w:t>Effects of Headings and Table of Contents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9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 xml:space="preserve">Section 15.07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in this Indenture by the parties hereto shall bind their respective successors and assigns and inure to the benefit of their permitted successors and assigns, whether so expressed or not.</w:t>
      </w:r>
    </w:p>
    <w:p>
      <w:pPr>
        <w:spacing w:after="0" w:line="197" w:lineRule="exact"/>
        <w:rPr>
          <w:sz w:val="20"/>
          <w:szCs w:val="20"/>
          <w:color w:val="auto"/>
        </w:rPr>
      </w:pPr>
    </w:p>
    <w:p>
      <w:pPr>
        <w:jc w:val="both"/>
        <w:ind w:firstLine="572"/>
        <w:spacing w:after="0" w:line="277" w:lineRule="auto"/>
        <w:rPr>
          <w:sz w:val="20"/>
          <w:szCs w:val="20"/>
          <w:color w:val="auto"/>
        </w:rPr>
      </w:pPr>
      <w:r>
        <w:rPr>
          <w:rFonts w:ascii="Arial" w:cs="Arial" w:eastAsia="Arial" w:hAnsi="Arial"/>
          <w:sz w:val="18"/>
          <w:szCs w:val="18"/>
          <w:color w:val="auto"/>
        </w:rPr>
        <w:t xml:space="preserve">Section 15.08 </w:t>
      </w:r>
      <w:r>
        <w:rPr>
          <w:rFonts w:ascii="Arial" w:cs="Arial" w:eastAsia="Arial" w:hAnsi="Arial"/>
          <w:sz w:val="18"/>
          <w:szCs w:val="18"/>
          <w:u w:val="single" w:color="auto"/>
          <w:color w:val="auto"/>
        </w:rPr>
        <w:t>Separability Clause</w:t>
      </w:r>
      <w:r>
        <w:rPr>
          <w:rFonts w:ascii="Arial" w:cs="Arial" w:eastAsia="Arial" w:hAnsi="Arial"/>
          <w:sz w:val="18"/>
          <w:szCs w:val="18"/>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97"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 xml:space="preserve">Section 15.09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 Nothing in this Indenture expressed and nothing that may be implied from any of the provisions hereof is intended, or shall be construed, to confer upon, or to give to, any Person or corporation other than the parties hereto and their successors and the Holders of the Securities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and of the Holders of the Securities.</w:t>
      </w:r>
    </w:p>
    <w:p>
      <w:pPr>
        <w:spacing w:after="0" w:line="215"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 xml:space="preserve">Section 15.10 </w:t>
      </w:r>
      <w:r>
        <w:rPr>
          <w:rFonts w:ascii="Arial" w:cs="Arial" w:eastAsia="Arial" w:hAnsi="Arial"/>
          <w:sz w:val="18"/>
          <w:szCs w:val="18"/>
          <w:u w:val="single" w:color="auto"/>
          <w:color w:val="auto"/>
        </w:rPr>
        <w:t>Counterparts Originals</w:t>
      </w:r>
      <w:r>
        <w:rPr>
          <w:rFonts w:ascii="Arial" w:cs="Arial" w:eastAsia="Arial" w:hAnsi="Arial"/>
          <w:sz w:val="18"/>
          <w:szCs w:val="18"/>
          <w:color w:val="auto"/>
        </w:rPr>
        <w:t>. This Indenture may be executed in any number of counterparts, each of which so executed shall be deemed to be an original, but all such counterparts shall together constitute but one and the same instrument.</w:t>
      </w:r>
    </w:p>
    <w:p>
      <w:pPr>
        <w:spacing w:after="0" w:line="197" w:lineRule="exact"/>
        <w:rPr>
          <w:sz w:val="20"/>
          <w:szCs w:val="20"/>
          <w:color w:val="auto"/>
        </w:rPr>
      </w:pPr>
    </w:p>
    <w:p>
      <w:pPr>
        <w:jc w:val="both"/>
        <w:ind w:firstLine="545"/>
        <w:spacing w:after="0" w:line="277" w:lineRule="auto"/>
        <w:rPr>
          <w:sz w:val="20"/>
          <w:szCs w:val="20"/>
          <w:color w:val="auto"/>
        </w:rPr>
      </w:pPr>
      <w:r>
        <w:rPr>
          <w:rFonts w:ascii="Arial" w:cs="Arial" w:eastAsia="Arial" w:hAnsi="Arial"/>
          <w:sz w:val="18"/>
          <w:szCs w:val="18"/>
          <w:color w:val="auto"/>
        </w:rPr>
        <w:t xml:space="preserve">Section 15.11 </w:t>
      </w:r>
      <w:r>
        <w:rPr>
          <w:rFonts w:ascii="Arial" w:cs="Arial" w:eastAsia="Arial" w:hAnsi="Arial"/>
          <w:sz w:val="18"/>
          <w:szCs w:val="18"/>
          <w:u w:val="single" w:color="auto"/>
          <w:color w:val="auto"/>
        </w:rPr>
        <w:t>Governing Law; Waiver of Trial by Jury</w:t>
      </w:r>
      <w:r>
        <w:rPr>
          <w:rFonts w:ascii="Arial" w:cs="Arial" w:eastAsia="Arial" w:hAnsi="Arial"/>
          <w:sz w:val="18"/>
          <w:szCs w:val="18"/>
          <w:color w:val="auto"/>
        </w:rPr>
        <w:t>. This Indenture and the Securities shall be deemed to be contracts made under the law of the State of New York, and for all purposes shall be governed by and construed in accordance with the law of said State.</w:t>
      </w:r>
    </w:p>
    <w:p>
      <w:pPr>
        <w:spacing w:after="0" w:line="193" w:lineRule="exact"/>
        <w:rPr>
          <w:sz w:val="20"/>
          <w:szCs w:val="20"/>
          <w:color w:val="auto"/>
        </w:rPr>
      </w:pPr>
    </w:p>
    <w:p>
      <w:pPr>
        <w:jc w:val="both"/>
        <w:ind w:right="20" w:firstLine="769"/>
        <w:spacing w:after="0" w:line="266" w:lineRule="auto"/>
        <w:rPr>
          <w:sz w:val="20"/>
          <w:szCs w:val="20"/>
          <w:color w:val="auto"/>
        </w:rPr>
      </w:pPr>
      <w:r>
        <w:rPr>
          <w:rFonts w:ascii="Arial" w:cs="Arial" w:eastAsia="Arial" w:hAnsi="Arial"/>
          <w:sz w:val="18"/>
          <w:szCs w:val="18"/>
          <w:b w:val="1"/>
          <w:bCs w:val="1"/>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6"/>
          <w:szCs w:val="16"/>
          <w:b w:val="1"/>
          <w:bCs w:val="1"/>
          <w:color w:val="auto"/>
        </w:rPr>
        <w:t>[Signatures to Follow]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color w:val="auto"/>
        </w:rPr>
        <w:t>IN WITNESS WHEREOF, the parties have caused this Indenture to be duly executed as of the date first written above.</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BROWN &amp; BROWN, INC.</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as Issuer</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3940810</wp:posOffset>
            </wp:positionH>
            <wp:positionV relativeFrom="paragraph">
              <wp:posOffset>31750</wp:posOffset>
            </wp:positionV>
            <wp:extent cx="30187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018790" cy="17145"/>
                    </a:xfrm>
                    <a:prstGeom prst="rect">
                      <a:avLst/>
                    </a:prstGeom>
                    <a:noFill/>
                  </pic:spPr>
                </pic:pic>
              </a:graphicData>
            </a:graphic>
          </wp:anchor>
        </w:drawing>
      </w:r>
    </w:p>
    <w:p>
      <w:pPr>
        <w:spacing w:after="0" w:line="4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4095115</wp:posOffset>
            </wp:positionH>
            <wp:positionV relativeFrom="paragraph">
              <wp:posOffset>14605</wp:posOffset>
            </wp:positionV>
            <wp:extent cx="286448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64485"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4095115</wp:posOffset>
            </wp:positionH>
            <wp:positionV relativeFrom="paragraph">
              <wp:posOffset>14605</wp:posOffset>
            </wp:positionV>
            <wp:extent cx="286448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6448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584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80" w:type="dxa"/>
            <w:vAlign w:val="bottom"/>
          </w:tcPr>
          <w:p>
            <w:pPr>
              <w:jc w:val="right"/>
              <w:ind w:right="4010"/>
              <w:spacing w:after="0"/>
              <w:rPr>
                <w:sz w:val="20"/>
                <w:szCs w:val="20"/>
                <w:color w:val="auto"/>
              </w:rPr>
            </w:pPr>
            <w:r>
              <w:rPr>
                <w:rFonts w:ascii="Arial" w:cs="Arial" w:eastAsia="Arial" w:hAnsi="Arial"/>
                <w:sz w:val="18"/>
                <w:szCs w:val="18"/>
                <w:color w:val="auto"/>
              </w:rPr>
              <w:t>]</w:t>
            </w:r>
          </w:p>
        </w:tc>
      </w:tr>
      <w:tr>
        <w:trPr>
          <w:trHeight w:val="230"/>
        </w:trPr>
        <w:tc>
          <w:tcPr>
            <w:tcW w:w="840" w:type="dxa"/>
            <w:vAlign w:val="bottom"/>
            <w:gridSpan w:val="3"/>
          </w:tcPr>
          <w:p>
            <w:pPr>
              <w:spacing w:after="0"/>
              <w:rPr>
                <w:sz w:val="20"/>
                <w:szCs w:val="20"/>
                <w:color w:val="auto"/>
              </w:rPr>
            </w:pPr>
            <w:r>
              <w:rPr>
                <w:rFonts w:ascii="Arial" w:cs="Arial" w:eastAsia="Arial" w:hAnsi="Arial"/>
                <w:sz w:val="18"/>
                <w:szCs w:val="18"/>
                <w:color w:val="auto"/>
                <w:w w:val="96"/>
              </w:rPr>
              <w:t>as Trustee</w:t>
            </w:r>
          </w:p>
        </w:tc>
        <w:tc>
          <w:tcPr>
            <w:tcW w:w="4280" w:type="dxa"/>
            <w:vAlign w:val="bottom"/>
          </w:tcPr>
          <w:p>
            <w:pPr>
              <w:spacing w:after="0"/>
              <w:rPr>
                <w:sz w:val="20"/>
                <w:szCs w:val="20"/>
                <w:color w:val="auto"/>
              </w:rPr>
            </w:pPr>
          </w:p>
        </w:tc>
      </w:tr>
      <w:tr>
        <w:trPr>
          <w:trHeight w:val="432"/>
        </w:trPr>
        <w:tc>
          <w:tcPr>
            <w:tcW w:w="840" w:type="dxa"/>
            <w:vAlign w:val="bottom"/>
            <w:gridSpan w:val="3"/>
          </w:tcPr>
          <w:p>
            <w:pPr>
              <w:spacing w:after="0"/>
              <w:rPr>
                <w:sz w:val="20"/>
                <w:szCs w:val="20"/>
                <w:color w:val="auto"/>
              </w:rPr>
            </w:pPr>
            <w:r>
              <w:rPr>
                <w:rFonts w:ascii="Arial" w:cs="Arial" w:eastAsia="Arial" w:hAnsi="Arial"/>
                <w:sz w:val="18"/>
                <w:szCs w:val="18"/>
                <w:color w:val="auto"/>
              </w:rPr>
              <w:t>By:</w:t>
            </w:r>
          </w:p>
        </w:tc>
        <w:tc>
          <w:tcPr>
            <w:tcW w:w="4280" w:type="dxa"/>
            <w:vAlign w:val="bottom"/>
          </w:tcPr>
          <w:p>
            <w:pPr>
              <w:spacing w:after="0"/>
              <w:rPr>
                <w:sz w:val="24"/>
                <w:szCs w:val="24"/>
                <w:color w:val="auto"/>
              </w:rPr>
            </w:pPr>
          </w:p>
        </w:tc>
      </w:tr>
      <w:tr>
        <w:trPr>
          <w:trHeight w:val="34"/>
        </w:trPr>
        <w:tc>
          <w:tcPr>
            <w:tcW w:w="6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23"/>
        </w:trPr>
        <w:tc>
          <w:tcPr>
            <w:tcW w:w="360" w:type="dxa"/>
            <w:vAlign w:val="bottom"/>
          </w:tcPr>
          <w:p>
            <w:pPr>
              <w:spacing w:after="0"/>
              <w:rPr>
                <w:sz w:val="20"/>
                <w:szCs w:val="20"/>
                <w:color w:val="auto"/>
              </w:rPr>
            </w:pPr>
            <w:r>
              <w:rPr>
                <w:rFonts w:ascii="Arial" w:cs="Arial" w:eastAsia="Arial" w:hAnsi="Arial"/>
                <w:sz w:val="16"/>
                <w:szCs w:val="16"/>
                <w:color w:val="auto"/>
                <w:w w:val="72"/>
              </w:rPr>
              <w:t>Name:</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280" w:type="dxa"/>
            <w:vAlign w:val="bottom"/>
            <w:tcBorders>
              <w:top w:val="single" w:sz="8" w:color="auto"/>
              <w:bottom w:val="single" w:sz="8" w:color="auto"/>
            </w:tcBorders>
          </w:tcPr>
          <w:p>
            <w:pPr>
              <w:spacing w:after="0"/>
              <w:rPr>
                <w:sz w:val="19"/>
                <w:szCs w:val="19"/>
                <w:color w:val="auto"/>
              </w:rPr>
            </w:pPr>
          </w:p>
        </w:tc>
      </w:tr>
      <w:tr>
        <w:trPr>
          <w:trHeight w:val="223"/>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24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tcPr>
          <w:p>
            <w:pPr>
              <w:spacing w:after="0"/>
              <w:rPr>
                <w:sz w:val="19"/>
                <w:szCs w:val="19"/>
                <w:color w:val="auto"/>
              </w:rPr>
            </w:pPr>
          </w:p>
        </w:tc>
      </w:tr>
    </w:tbl>
    <w:p>
      <w:pPr>
        <w:spacing w:after="0" w:line="2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60"/>
          </w:cols>
          <w:pgMar w:left="700" w:top="517"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420" w:type="dxa"/>
            <w:vAlign w:val="bottom"/>
          </w:tcPr>
          <w:p>
            <w:pPr>
              <w:ind w:left="1580"/>
              <w:spacing w:after="0"/>
              <w:rPr>
                <w:sz w:val="20"/>
                <w:szCs w:val="20"/>
                <w:color w:val="auto"/>
              </w:rPr>
            </w:pPr>
            <w:r>
              <w:rPr>
                <w:rFonts w:ascii="Arial" w:cs="Arial" w:eastAsia="Arial" w:hAnsi="Arial"/>
                <w:sz w:val="18"/>
                <w:szCs w:val="18"/>
                <w:b w:val="1"/>
                <w:bCs w:val="1"/>
                <w:color w:val="auto"/>
                <w:w w:val="91"/>
              </w:rPr>
              <w:t>Exhibit 5.1</w:t>
            </w:r>
          </w:p>
        </w:tc>
        <w:tc>
          <w:tcPr>
            <w:tcW w:w="0" w:type="dxa"/>
            <w:vAlign w:val="bottom"/>
          </w:tcPr>
          <w:p>
            <w:pPr>
              <w:spacing w:after="0"/>
              <w:rPr>
                <w:sz w:val="1"/>
                <w:szCs w:val="1"/>
                <w:color w:val="auto"/>
              </w:rPr>
            </w:pPr>
          </w:p>
        </w:tc>
      </w:tr>
      <w:tr>
        <w:trPr>
          <w:trHeight w:val="931"/>
        </w:trPr>
        <w:tc>
          <w:tcPr>
            <w:tcW w:w="5020" w:type="dxa"/>
            <w:vAlign w:val="bottom"/>
          </w:tcPr>
          <w:p>
            <w:pPr>
              <w:spacing w:after="0"/>
              <w:rPr>
                <w:sz w:val="24"/>
                <w:szCs w:val="24"/>
                <w:color w:val="auto"/>
              </w:rPr>
            </w:pPr>
          </w:p>
        </w:tc>
        <w:tc>
          <w:tcPr>
            <w:tcW w:w="3980" w:type="dxa"/>
            <w:vAlign w:val="bottom"/>
          </w:tcPr>
          <w:p>
            <w:pPr>
              <w:ind w:left="2420"/>
              <w:spacing w:after="0"/>
              <w:rPr>
                <w:sz w:val="20"/>
                <w:szCs w:val="20"/>
                <w:color w:val="auto"/>
              </w:rPr>
            </w:pPr>
            <w:r>
              <w:rPr>
                <w:rFonts w:ascii="Arial" w:cs="Arial" w:eastAsia="Arial" w:hAnsi="Arial"/>
                <w:sz w:val="18"/>
                <w:szCs w:val="18"/>
                <w:color w:val="auto"/>
              </w:rPr>
              <w:t>Atlanta</w:t>
            </w:r>
          </w:p>
        </w:tc>
        <w:tc>
          <w:tcPr>
            <w:tcW w:w="2420" w:type="dxa"/>
            <w:vAlign w:val="bottom"/>
          </w:tcPr>
          <w:p>
            <w:pPr>
              <w:ind w:left="280"/>
              <w:spacing w:after="0"/>
              <w:rPr>
                <w:sz w:val="20"/>
                <w:szCs w:val="20"/>
                <w:color w:val="auto"/>
              </w:rPr>
            </w:pPr>
            <w:r>
              <w:rPr>
                <w:rFonts w:ascii="Arial" w:cs="Arial" w:eastAsia="Arial" w:hAnsi="Arial"/>
                <w:sz w:val="18"/>
                <w:szCs w:val="18"/>
                <w:color w:val="auto"/>
              </w:rPr>
              <w:t>International Offices:</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3980" w:type="dxa"/>
            <w:vAlign w:val="bottom"/>
          </w:tcPr>
          <w:p>
            <w:pPr>
              <w:ind w:left="2420"/>
              <w:spacing w:after="0"/>
              <w:rPr>
                <w:sz w:val="20"/>
                <w:szCs w:val="20"/>
                <w:color w:val="auto"/>
              </w:rPr>
            </w:pPr>
            <w:r>
              <w:rPr>
                <w:rFonts w:ascii="Arial" w:cs="Arial" w:eastAsia="Arial" w:hAnsi="Arial"/>
                <w:sz w:val="18"/>
                <w:szCs w:val="18"/>
                <w:color w:val="auto"/>
              </w:rPr>
              <w:t>Bethesda</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3980" w:type="dxa"/>
            <w:vAlign w:val="bottom"/>
          </w:tcPr>
          <w:p>
            <w:pPr>
              <w:ind w:left="2420"/>
              <w:spacing w:after="0"/>
              <w:rPr>
                <w:sz w:val="20"/>
                <w:szCs w:val="20"/>
                <w:color w:val="auto"/>
              </w:rPr>
            </w:pPr>
            <w:r>
              <w:rPr>
                <w:rFonts w:ascii="Arial" w:cs="Arial" w:eastAsia="Arial" w:hAnsi="Arial"/>
                <w:sz w:val="18"/>
                <w:szCs w:val="18"/>
                <w:color w:val="auto"/>
              </w:rPr>
              <w:t>Boston</w:t>
            </w:r>
          </w:p>
        </w:tc>
        <w:tc>
          <w:tcPr>
            <w:tcW w:w="2420" w:type="dxa"/>
            <w:vAlign w:val="bottom"/>
          </w:tcPr>
          <w:p>
            <w:pPr>
              <w:ind w:left="280"/>
              <w:spacing w:after="0"/>
              <w:rPr>
                <w:sz w:val="20"/>
                <w:szCs w:val="20"/>
                <w:color w:val="auto"/>
              </w:rPr>
            </w:pPr>
            <w:r>
              <w:rPr>
                <w:rFonts w:ascii="Arial" w:cs="Arial" w:eastAsia="Arial" w:hAnsi="Arial"/>
                <w:sz w:val="18"/>
                <w:szCs w:val="18"/>
                <w:color w:val="auto"/>
              </w:rPr>
              <w:t>Abu Dhabi</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3980" w:type="dxa"/>
            <w:vAlign w:val="bottom"/>
          </w:tcPr>
          <w:p>
            <w:pPr>
              <w:ind w:left="2420"/>
              <w:spacing w:after="0"/>
              <w:rPr>
                <w:sz w:val="20"/>
                <w:szCs w:val="20"/>
                <w:color w:val="auto"/>
              </w:rPr>
            </w:pPr>
            <w:r>
              <w:rPr>
                <w:rFonts w:ascii="Arial" w:cs="Arial" w:eastAsia="Arial" w:hAnsi="Arial"/>
                <w:sz w:val="18"/>
                <w:szCs w:val="18"/>
                <w:color w:val="auto"/>
              </w:rPr>
              <w:t>Chicago</w:t>
            </w:r>
          </w:p>
        </w:tc>
        <w:tc>
          <w:tcPr>
            <w:tcW w:w="2420" w:type="dxa"/>
            <w:vAlign w:val="bottom"/>
          </w:tcPr>
          <w:p>
            <w:pPr>
              <w:ind w:left="280"/>
              <w:spacing w:after="0"/>
              <w:rPr>
                <w:sz w:val="20"/>
                <w:szCs w:val="20"/>
                <w:color w:val="auto"/>
              </w:rPr>
            </w:pPr>
            <w:r>
              <w:rPr>
                <w:rFonts w:ascii="Arial" w:cs="Arial" w:eastAsia="Arial" w:hAnsi="Arial"/>
                <w:sz w:val="18"/>
                <w:szCs w:val="18"/>
                <w:color w:val="auto"/>
              </w:rPr>
              <w:t>Beijing</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100 North Tampa Street, Suite 4100</w:t>
            </w:r>
          </w:p>
        </w:tc>
        <w:tc>
          <w:tcPr>
            <w:tcW w:w="3980" w:type="dxa"/>
            <w:vAlign w:val="bottom"/>
          </w:tcPr>
          <w:p>
            <w:pPr>
              <w:ind w:left="2420"/>
              <w:spacing w:after="0"/>
              <w:rPr>
                <w:sz w:val="20"/>
                <w:szCs w:val="20"/>
                <w:color w:val="auto"/>
              </w:rPr>
            </w:pPr>
            <w:r>
              <w:rPr>
                <w:rFonts w:ascii="Arial" w:cs="Arial" w:eastAsia="Arial" w:hAnsi="Arial"/>
                <w:sz w:val="18"/>
                <w:szCs w:val="18"/>
                <w:color w:val="auto"/>
              </w:rPr>
              <w:t>Fort Lauderdale</w:t>
            </w:r>
          </w:p>
        </w:tc>
        <w:tc>
          <w:tcPr>
            <w:tcW w:w="2420" w:type="dxa"/>
            <w:vAlign w:val="bottom"/>
          </w:tcPr>
          <w:p>
            <w:pPr>
              <w:ind w:left="280"/>
              <w:spacing w:after="0"/>
              <w:rPr>
                <w:sz w:val="20"/>
                <w:szCs w:val="20"/>
                <w:color w:val="auto"/>
              </w:rPr>
            </w:pPr>
            <w:r>
              <w:rPr>
                <w:rFonts w:ascii="Arial" w:cs="Arial" w:eastAsia="Arial" w:hAnsi="Arial"/>
                <w:sz w:val="18"/>
                <w:szCs w:val="18"/>
                <w:color w:val="auto"/>
              </w:rPr>
              <w:t>Caracas*</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P.O. Box 1288 (ZIP 33601-1288)</w:t>
            </w:r>
          </w:p>
        </w:tc>
        <w:tc>
          <w:tcPr>
            <w:tcW w:w="3980" w:type="dxa"/>
            <w:vAlign w:val="bottom"/>
          </w:tcPr>
          <w:p>
            <w:pPr>
              <w:ind w:left="2420"/>
              <w:spacing w:after="0"/>
              <w:rPr>
                <w:sz w:val="20"/>
                <w:szCs w:val="20"/>
                <w:color w:val="auto"/>
              </w:rPr>
            </w:pPr>
            <w:r>
              <w:rPr>
                <w:rFonts w:ascii="Arial" w:cs="Arial" w:eastAsia="Arial" w:hAnsi="Arial"/>
                <w:sz w:val="18"/>
                <w:szCs w:val="18"/>
                <w:color w:val="auto"/>
              </w:rPr>
              <w:t>Jacksonville</w:t>
            </w:r>
          </w:p>
        </w:tc>
        <w:tc>
          <w:tcPr>
            <w:tcW w:w="2420" w:type="dxa"/>
            <w:vAlign w:val="bottom"/>
          </w:tcPr>
          <w:p>
            <w:pPr>
              <w:ind w:left="280"/>
              <w:spacing w:after="0"/>
              <w:rPr>
                <w:sz w:val="20"/>
                <w:szCs w:val="20"/>
                <w:color w:val="auto"/>
              </w:rPr>
            </w:pPr>
            <w:r>
              <w:rPr>
                <w:rFonts w:ascii="Arial" w:cs="Arial" w:eastAsia="Arial" w:hAnsi="Arial"/>
                <w:sz w:val="18"/>
                <w:szCs w:val="18"/>
                <w:color w:val="auto"/>
              </w:rPr>
              <w:t>Mexico City</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Tampa, Florida 33602-3644</w:t>
            </w:r>
          </w:p>
        </w:tc>
        <w:tc>
          <w:tcPr>
            <w:tcW w:w="3980" w:type="dxa"/>
            <w:vAlign w:val="bottom"/>
          </w:tcPr>
          <w:p>
            <w:pPr>
              <w:ind w:left="2420"/>
              <w:spacing w:after="0"/>
              <w:rPr>
                <w:sz w:val="20"/>
                <w:szCs w:val="20"/>
                <w:color w:val="auto"/>
              </w:rPr>
            </w:pPr>
            <w:r>
              <w:rPr>
                <w:rFonts w:ascii="Arial" w:cs="Arial" w:eastAsia="Arial" w:hAnsi="Arial"/>
                <w:sz w:val="18"/>
                <w:szCs w:val="18"/>
                <w:color w:val="auto"/>
              </w:rPr>
              <w:t>Los Angeles</w:t>
            </w:r>
          </w:p>
        </w:tc>
        <w:tc>
          <w:tcPr>
            <w:tcW w:w="2420" w:type="dxa"/>
            <w:vAlign w:val="bottom"/>
          </w:tcPr>
          <w:p>
            <w:pPr>
              <w:ind w:left="280"/>
              <w:spacing w:after="0"/>
              <w:rPr>
                <w:sz w:val="20"/>
                <w:szCs w:val="20"/>
                <w:color w:val="auto"/>
              </w:rPr>
            </w:pPr>
            <w:r>
              <w:rPr>
                <w:rFonts w:ascii="Arial" w:cs="Arial" w:eastAsia="Arial" w:hAnsi="Arial"/>
                <w:sz w:val="18"/>
                <w:szCs w:val="18"/>
                <w:color w:val="auto"/>
              </w:rPr>
              <w:t>Tel Aviv*</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3980" w:type="dxa"/>
            <w:vAlign w:val="bottom"/>
          </w:tcPr>
          <w:p>
            <w:pPr>
              <w:ind w:left="2420"/>
              <w:spacing w:after="0"/>
              <w:rPr>
                <w:sz w:val="20"/>
                <w:szCs w:val="20"/>
                <w:color w:val="auto"/>
              </w:rPr>
            </w:pPr>
            <w:r>
              <w:rPr>
                <w:rFonts w:ascii="Arial" w:cs="Arial" w:eastAsia="Arial" w:hAnsi="Arial"/>
                <w:sz w:val="18"/>
                <w:szCs w:val="18"/>
                <w:color w:val="auto"/>
              </w:rPr>
              <w:t>Miami</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813-227-8500</w:t>
            </w:r>
          </w:p>
        </w:tc>
        <w:tc>
          <w:tcPr>
            <w:tcW w:w="3980" w:type="dxa"/>
            <w:vAlign w:val="bottom"/>
          </w:tcPr>
          <w:p>
            <w:pPr>
              <w:ind w:left="2420"/>
              <w:spacing w:after="0"/>
              <w:rPr>
                <w:sz w:val="20"/>
                <w:szCs w:val="20"/>
                <w:color w:val="auto"/>
              </w:rPr>
            </w:pPr>
            <w:r>
              <w:rPr>
                <w:rFonts w:ascii="Arial" w:cs="Arial" w:eastAsia="Arial" w:hAnsi="Arial"/>
                <w:sz w:val="18"/>
                <w:szCs w:val="18"/>
                <w:color w:val="auto"/>
              </w:rPr>
              <w:t>New York</w:t>
            </w:r>
          </w:p>
        </w:tc>
        <w:tc>
          <w:tcPr>
            <w:tcW w:w="2420" w:type="dxa"/>
            <w:vAlign w:val="bottom"/>
          </w:tcPr>
          <w:p>
            <w:pPr>
              <w:ind w:left="280"/>
              <w:spacing w:after="0"/>
              <w:rPr>
                <w:sz w:val="20"/>
                <w:szCs w:val="20"/>
                <w:color w:val="auto"/>
              </w:rPr>
            </w:pPr>
            <w:r>
              <w:rPr>
                <w:rFonts w:ascii="Arial" w:cs="Arial" w:eastAsia="Arial" w:hAnsi="Arial"/>
                <w:sz w:val="18"/>
                <w:szCs w:val="18"/>
                <w:color w:val="auto"/>
              </w:rPr>
              <w:t>*Representative Office</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813-229-0134 Fax</w:t>
            </w:r>
          </w:p>
        </w:tc>
        <w:tc>
          <w:tcPr>
            <w:tcW w:w="3980" w:type="dxa"/>
            <w:vAlign w:val="bottom"/>
          </w:tcPr>
          <w:p>
            <w:pPr>
              <w:ind w:left="2420"/>
              <w:spacing w:after="0" w:line="202" w:lineRule="exact"/>
              <w:rPr>
                <w:sz w:val="20"/>
                <w:szCs w:val="20"/>
                <w:color w:val="auto"/>
              </w:rPr>
            </w:pPr>
            <w:r>
              <w:rPr>
                <w:rFonts w:ascii="Arial" w:cs="Arial" w:eastAsia="Arial" w:hAnsi="Arial"/>
                <w:sz w:val="18"/>
                <w:szCs w:val="18"/>
                <w:color w:val="auto"/>
              </w:rPr>
              <w:t>Northern Virginia</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020" w:type="dxa"/>
            <w:vAlign w:val="bottom"/>
          </w:tcPr>
          <w:p>
            <w:pPr>
              <w:spacing w:after="0"/>
              <w:rPr>
                <w:sz w:val="18"/>
                <w:szCs w:val="18"/>
                <w:color w:val="auto"/>
              </w:rPr>
            </w:pPr>
          </w:p>
        </w:tc>
        <w:tc>
          <w:tcPr>
            <w:tcW w:w="3980" w:type="dxa"/>
            <w:vAlign w:val="bottom"/>
          </w:tcPr>
          <w:p>
            <w:pPr>
              <w:ind w:left="2420"/>
              <w:spacing w:after="0"/>
              <w:rPr>
                <w:sz w:val="20"/>
                <w:szCs w:val="20"/>
                <w:color w:val="auto"/>
              </w:rPr>
            </w:pPr>
            <w:r>
              <w:rPr>
                <w:rFonts w:ascii="Arial" w:cs="Arial" w:eastAsia="Arial" w:hAnsi="Arial"/>
                <w:sz w:val="18"/>
                <w:szCs w:val="18"/>
                <w:color w:val="auto"/>
              </w:rPr>
              <w:t>Orlando</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vMerge w:val="restart"/>
          </w:tcPr>
          <w:p>
            <w:pPr>
              <w:spacing w:after="0"/>
              <w:rPr>
                <w:sz w:val="20"/>
                <w:szCs w:val="20"/>
                <w:color w:val="auto"/>
              </w:rPr>
            </w:pPr>
            <w:r>
              <w:rPr>
                <w:rFonts w:ascii="Arial" w:cs="Arial" w:eastAsia="Arial" w:hAnsi="Arial"/>
                <w:sz w:val="18"/>
                <w:szCs w:val="18"/>
                <w:color w:val="auto"/>
              </w:rPr>
              <w:t>www.hklaw.com</w:t>
            </w:r>
          </w:p>
        </w:tc>
        <w:tc>
          <w:tcPr>
            <w:tcW w:w="3980" w:type="dxa"/>
            <w:vAlign w:val="bottom"/>
          </w:tcPr>
          <w:p>
            <w:pPr>
              <w:ind w:left="2420"/>
              <w:spacing w:after="0"/>
              <w:rPr>
                <w:sz w:val="20"/>
                <w:szCs w:val="20"/>
                <w:color w:val="auto"/>
              </w:rPr>
            </w:pPr>
            <w:r>
              <w:rPr>
                <w:rFonts w:ascii="Arial" w:cs="Arial" w:eastAsia="Arial" w:hAnsi="Arial"/>
                <w:sz w:val="18"/>
                <w:szCs w:val="18"/>
                <w:color w:val="auto"/>
              </w:rPr>
              <w:t>Portland</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5020" w:type="dxa"/>
            <w:vAlign w:val="bottom"/>
            <w:vMerge w:val="continue"/>
          </w:tcPr>
          <w:p>
            <w:pPr>
              <w:spacing w:after="0"/>
              <w:rPr>
                <w:sz w:val="7"/>
                <w:szCs w:val="7"/>
                <w:color w:val="auto"/>
              </w:rPr>
            </w:pPr>
          </w:p>
        </w:tc>
        <w:tc>
          <w:tcPr>
            <w:tcW w:w="3980" w:type="dxa"/>
            <w:vAlign w:val="bottom"/>
            <w:vMerge w:val="restart"/>
          </w:tcPr>
          <w:p>
            <w:pPr>
              <w:ind w:left="2420"/>
              <w:spacing w:after="0"/>
              <w:rPr>
                <w:sz w:val="20"/>
                <w:szCs w:val="20"/>
                <w:color w:val="auto"/>
              </w:rPr>
            </w:pPr>
            <w:r>
              <w:rPr>
                <w:rFonts w:ascii="Arial" w:cs="Arial" w:eastAsia="Arial" w:hAnsi="Arial"/>
                <w:sz w:val="18"/>
                <w:szCs w:val="18"/>
                <w:color w:val="auto"/>
              </w:rPr>
              <w:t>San Francisco</w:t>
            </w: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5020" w:type="dxa"/>
            <w:vAlign w:val="bottom"/>
          </w:tcPr>
          <w:p>
            <w:pPr>
              <w:spacing w:after="0"/>
              <w:rPr>
                <w:sz w:val="11"/>
                <w:szCs w:val="11"/>
                <w:color w:val="auto"/>
              </w:rPr>
            </w:pPr>
          </w:p>
        </w:tc>
        <w:tc>
          <w:tcPr>
            <w:tcW w:w="3980" w:type="dxa"/>
            <w:vAlign w:val="bottom"/>
            <w:vMerge w:val="continue"/>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3980" w:type="dxa"/>
            <w:vAlign w:val="bottom"/>
          </w:tcPr>
          <w:p>
            <w:pPr>
              <w:ind w:left="2420"/>
              <w:spacing w:after="0"/>
              <w:rPr>
                <w:sz w:val="20"/>
                <w:szCs w:val="20"/>
                <w:color w:val="auto"/>
              </w:rPr>
            </w:pPr>
            <w:r>
              <w:rPr>
                <w:rFonts w:ascii="Arial" w:cs="Arial" w:eastAsia="Arial" w:hAnsi="Arial"/>
                <w:sz w:val="18"/>
                <w:szCs w:val="18"/>
                <w:color w:val="auto"/>
              </w:rPr>
              <w:t>Tallahassee</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3980" w:type="dxa"/>
            <w:vAlign w:val="bottom"/>
          </w:tcPr>
          <w:p>
            <w:pPr>
              <w:ind w:left="2420"/>
              <w:spacing w:after="0"/>
              <w:rPr>
                <w:sz w:val="20"/>
                <w:szCs w:val="20"/>
                <w:color w:val="auto"/>
              </w:rPr>
            </w:pPr>
            <w:r>
              <w:rPr>
                <w:rFonts w:ascii="Arial" w:cs="Arial" w:eastAsia="Arial" w:hAnsi="Arial"/>
                <w:sz w:val="18"/>
                <w:szCs w:val="18"/>
                <w:color w:val="auto"/>
              </w:rPr>
              <w:t>Tampa</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3980" w:type="dxa"/>
            <w:vAlign w:val="bottom"/>
          </w:tcPr>
          <w:p>
            <w:pPr>
              <w:ind w:left="2420"/>
              <w:spacing w:after="0"/>
              <w:rPr>
                <w:sz w:val="20"/>
                <w:szCs w:val="20"/>
                <w:color w:val="auto"/>
              </w:rPr>
            </w:pPr>
            <w:r>
              <w:rPr>
                <w:rFonts w:ascii="Arial" w:cs="Arial" w:eastAsia="Arial" w:hAnsi="Arial"/>
                <w:sz w:val="18"/>
                <w:szCs w:val="18"/>
                <w:color w:val="auto"/>
              </w:rPr>
              <w:t>Washington, D.C.</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p>
        </w:tc>
        <w:tc>
          <w:tcPr>
            <w:tcW w:w="3980" w:type="dxa"/>
            <w:vAlign w:val="bottom"/>
          </w:tcPr>
          <w:p>
            <w:pPr>
              <w:ind w:left="2420"/>
              <w:spacing w:after="0"/>
              <w:rPr>
                <w:sz w:val="20"/>
                <w:szCs w:val="20"/>
                <w:color w:val="auto"/>
              </w:rPr>
            </w:pPr>
            <w:r>
              <w:rPr>
                <w:rFonts w:ascii="Arial" w:cs="Arial" w:eastAsia="Arial" w:hAnsi="Arial"/>
                <w:sz w:val="18"/>
                <w:szCs w:val="18"/>
                <w:color w:val="auto"/>
              </w:rPr>
              <w:t>West Palm Beach</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020" w:type="dxa"/>
            <w:vAlign w:val="bottom"/>
          </w:tcPr>
          <w:p>
            <w:pPr>
              <w:spacing w:after="0"/>
              <w:rPr>
                <w:sz w:val="20"/>
                <w:szCs w:val="20"/>
                <w:color w:val="auto"/>
              </w:rPr>
            </w:pPr>
            <w:r>
              <w:rPr>
                <w:rFonts w:ascii="Arial" w:cs="Arial" w:eastAsia="Arial" w:hAnsi="Arial"/>
                <w:sz w:val="18"/>
                <w:szCs w:val="18"/>
                <w:color w:val="auto"/>
              </w:rPr>
              <w:t>March 4, 2009</w:t>
            </w:r>
          </w:p>
        </w:tc>
        <w:tc>
          <w:tcPr>
            <w:tcW w:w="6400" w:type="dxa"/>
            <w:vAlign w:val="bottom"/>
            <w:gridSpan w:val="2"/>
          </w:tcPr>
          <w:p>
            <w:pPr>
              <w:ind w:left="2420"/>
              <w:spacing w:after="0"/>
              <w:rPr>
                <w:sz w:val="20"/>
                <w:szCs w:val="20"/>
                <w:color w:val="auto"/>
              </w:rPr>
            </w:pPr>
            <w:r>
              <w:rPr>
                <w:rFonts w:ascii="Arial" w:cs="Arial" w:eastAsia="Arial" w:hAnsi="Arial"/>
                <w:sz w:val="18"/>
                <w:szCs w:val="18"/>
                <w:color w:val="auto"/>
              </w:rPr>
              <w:t>CHESTER E. BACHELLER</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3980" w:type="dxa"/>
            <w:vAlign w:val="bottom"/>
          </w:tcPr>
          <w:p>
            <w:pPr>
              <w:ind w:left="2420"/>
              <w:spacing w:after="0"/>
              <w:rPr>
                <w:sz w:val="20"/>
                <w:szCs w:val="20"/>
                <w:color w:val="auto"/>
              </w:rPr>
            </w:pPr>
            <w:r>
              <w:rPr>
                <w:rFonts w:ascii="Arial" w:cs="Arial" w:eastAsia="Arial" w:hAnsi="Arial"/>
                <w:sz w:val="18"/>
                <w:szCs w:val="18"/>
                <w:color w:val="auto"/>
              </w:rPr>
              <w:t>813 227 6431</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p>
        </w:tc>
        <w:tc>
          <w:tcPr>
            <w:tcW w:w="6400" w:type="dxa"/>
            <w:vAlign w:val="bottom"/>
            <w:gridSpan w:val="2"/>
          </w:tcPr>
          <w:p>
            <w:pPr>
              <w:ind w:left="2420"/>
              <w:spacing w:after="0"/>
              <w:rPr>
                <w:sz w:val="20"/>
                <w:szCs w:val="20"/>
                <w:color w:val="auto"/>
              </w:rPr>
            </w:pPr>
            <w:r>
              <w:rPr>
                <w:rFonts w:ascii="Arial" w:cs="Arial" w:eastAsia="Arial" w:hAnsi="Arial"/>
                <w:sz w:val="18"/>
                <w:szCs w:val="18"/>
                <w:color w:val="auto"/>
              </w:rPr>
              <w:t>chet.bacheller@hklaw.com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19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-2898140</wp:posOffset>
            </wp:positionV>
            <wp:extent cx="2889885" cy="4032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89885" cy="40322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Brown &amp; Brown,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220 South Ridgewood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Daytona Beach, FL 32114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 Brown &amp; Brown, Inc. - Registration Statement on Form S-3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examined the Registration Statement on Form S-3 (the "Registration Statement"), filed or to be filed by Brown &amp; Brown, Inc., a Florida corporation (the "Company"), with the Securities and Exchange Commission (the "Commission") in connection with the registration pursuant to the Securities Act of 1933, as amended (the "Act"). The Registration Statement relates to the issuance and sale by the Company from time to time, pursuant to Rules 415 and 462(e) of the rules and regulations promulgated under the Act, of an unspecified amount of securities of the Company, consisting of the Company's debt securities (the "Debt Securities"), shares of the Company's common stock, $0.10 par value per share (the "Common Stock"), warrants for the purchase of Debt Securities or Common Stock (the "Warrants") and units consisting of Common Stock, Debt Securities, and/or Warrants (the “Units”). The Debt Securities, the Common Stock, the Warrants and the Units (collectively referred to herein as the "Offered Securities") are to be sold from time to time as set forth in the Registration Statement, the Prospectus contained therein (the "Prospectus"), the supplements to the Prospectus (the "Prospectus Supplements"), and pursuant to one or more underwriting agreements (each an "Underwriting Agreement"), substantially in the form filed as an exhibit to the Registration Statement.</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otherwise specified in the applicable Prospectus Supplement, the Debt Securities will be issued in one or more series under an indenture (the “Indenture”) between the Company and a financial institution to be named in the Indenture, as trustee (the “Trustee”), the form of which is filed as an exhibit to the Registration Statement.</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this opinion, we have examined originals or copies, certified or otherwise identified to our satisfaction, of: (a) the Registration Statement; (b) the Indenture; and (c) certain resolutions adopted by the Company's Board of Directors relating to the registration of the Offered Securities and related matters. We have also examined certain records of the Company, certificates of public officials and representatives of the Company, and other documents as we deemed necessary to deliver the opinion expressed below.</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such examination, we have assumed, without inquiry or other investigation, (a) the legal capacity of each natural person executing the agreements described herein, (b) the authenticity of original documents and the genuineness of all signatures, (c) the conformity to the originals of all documents submitted to us as copies, (d) the truth, accuracy and completeness of the information, representations and warranties contained in the records, documents, instruments and certificates we have reviewed, (e) that there has been no undisclosed waiver of any right, remedy or provision contained in any such documents and (f) that each transaction complies with all tests of good faith, fairness and conscionability required by law. We have also assumed that the Indenture, when executed, will be the valid and legally binding obligation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Brown &amp; Brown,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Based on such examination and subject to the foregoing exceptions, qualifications, and limitations, we express the following opinions:</w:t>
      </w:r>
    </w:p>
    <w:p>
      <w:pPr>
        <w:spacing w:after="0" w:line="252" w:lineRule="exact"/>
        <w:rPr>
          <w:sz w:val="20"/>
          <w:szCs w:val="20"/>
          <w:color w:val="auto"/>
        </w:rPr>
      </w:pPr>
    </w:p>
    <w:p>
      <w:pPr>
        <w:jc w:val="both"/>
        <w:ind w:firstLine="648"/>
        <w:spacing w:after="0" w:line="291" w:lineRule="auto"/>
        <w:tabs>
          <w:tab w:leader="none" w:pos="1179" w:val="left"/>
        </w:tabs>
        <w:numPr>
          <w:ilvl w:val="2"/>
          <w:numId w:val="144"/>
        </w:numPr>
        <w:rPr>
          <w:rFonts w:ascii="Arial" w:cs="Arial" w:eastAsia="Arial" w:hAnsi="Arial"/>
          <w:sz w:val="16"/>
          <w:szCs w:val="16"/>
          <w:color w:val="auto"/>
        </w:rPr>
      </w:pPr>
      <w:r>
        <w:rPr>
          <w:rFonts w:ascii="Arial" w:cs="Arial" w:eastAsia="Arial" w:hAnsi="Arial"/>
          <w:sz w:val="16"/>
          <w:szCs w:val="16"/>
          <w:color w:val="auto"/>
        </w:rPr>
        <w:t>When the issuance of the Debt Securities has been duly authorized by appropriate corporate action and the Debt Securities have been duly completed, executed, authenticated, registered and delivered in accordance with the Indenture and sold pursuant to an Underwriting Agreement and as described in the Registration Statement, any amendment thereto, the Prospectus and any Prospectus Supplement relating thereto, then the Debt Securities will constitute legally valid and binding obligations of the Company, enforceable against the Company in accordance with their terms, except as enforcement thereof may be subject to or limited by bankruptcy, insolvency, reorganization, moratorium, arrangement, fraudulent conveyance, fraudulent transfer or other similar laws relating to or affecting creditors' rights generally, and subject to general principles of equity (regardless of whether enforcement is sought in a proceeding in equity or at law) and will entitle the holders of the Securities to the benefits of the Indenture.</w:t>
      </w:r>
    </w:p>
    <w:p>
      <w:pPr>
        <w:spacing w:after="0" w:line="194" w:lineRule="exact"/>
        <w:rPr>
          <w:rFonts w:ascii="Arial" w:cs="Arial" w:eastAsia="Arial" w:hAnsi="Arial"/>
          <w:sz w:val="16"/>
          <w:szCs w:val="16"/>
          <w:color w:val="auto"/>
        </w:rPr>
      </w:pPr>
    </w:p>
    <w:p>
      <w:pPr>
        <w:jc w:val="both"/>
        <w:ind w:firstLine="530"/>
        <w:spacing w:after="0" w:line="279" w:lineRule="auto"/>
        <w:tabs>
          <w:tab w:leader="none" w:pos="98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When the issuance of the shares of Common Stock has been duly authorized by appropriate corporate action, including any Common Stock that may be issuable pursuant to the conversion of any Debt Securities, and the shares of Common Stock have been duly issued, sold, registered and delivered pursuant to an Underwriting Agreement and as described in the Registration Statement, any amendment thereto, the Prospectus and any Prospectus Supplement relating thereto, then the shares of Common Stock will be legally issued, fully paid and non-assessable.</w:t>
      </w:r>
    </w:p>
    <w:p>
      <w:pPr>
        <w:spacing w:after="0" w:line="198" w:lineRule="exact"/>
        <w:rPr>
          <w:rFonts w:ascii="Arial" w:cs="Arial" w:eastAsia="Arial" w:hAnsi="Arial"/>
          <w:sz w:val="17"/>
          <w:szCs w:val="17"/>
          <w:color w:val="auto"/>
        </w:rPr>
      </w:pPr>
    </w:p>
    <w:p>
      <w:pPr>
        <w:jc w:val="both"/>
        <w:ind w:firstLine="689"/>
        <w:spacing w:after="0" w:line="270" w:lineRule="auto"/>
        <w:tabs>
          <w:tab w:leader="none" w:pos="1246" w:val="left"/>
        </w:tabs>
        <w:numPr>
          <w:ilvl w:val="3"/>
          <w:numId w:val="145"/>
        </w:numPr>
        <w:rPr>
          <w:rFonts w:ascii="Arial" w:cs="Arial" w:eastAsia="Arial" w:hAnsi="Arial"/>
          <w:sz w:val="17"/>
          <w:szCs w:val="17"/>
          <w:color w:val="auto"/>
        </w:rPr>
      </w:pPr>
      <w:r>
        <w:rPr>
          <w:rFonts w:ascii="Arial" w:cs="Arial" w:eastAsia="Arial" w:hAnsi="Arial"/>
          <w:sz w:val="17"/>
          <w:szCs w:val="17"/>
          <w:color w:val="auto"/>
        </w:rPr>
        <w:t>When (i) the issuance of the Warrants has been duly authorized by appropriate corporate action and the terms of the Warrants have been established in accordance with the resolutions of the Company's Board of Directors, including any appropriate committee appointed thereby, authorizing the issuance and sale of the Warrants, (ii) the applicable warrant agreement (the "Warrant Agreement") has been duly authorized by appropriate corporate action and validly executed and delivered by the Company and the applicable warrant agent appointed by the Company, (iii) the Warrants or certificates representing the Warrants have been duly completed, executed, authenticated, registered and delivered in accordance with the applicable Warrant Agreement and sold pursuant to an Underwriting Agreement and as described in the Registration Statement, any amendment thereto, the Prospectus and any Prospectus Supplement relating thereto, then the Warrants will constitute legally valid and binding obligations of the Company, enforceable against the Company in accordance with their terms, except as enforcement thereof may be subject to or limited by bankruptcy, insolvency, reorganization, moratorium, arrangement, fraudulent conveyance, fraudulent transfer or other similar laws relating to or affecting creditors' rights generally, and subject to general principles of equity (regardless of whether enforcement is sought in a proceeding in equity or at law).</w:t>
      </w:r>
    </w:p>
    <w:p>
      <w:pPr>
        <w:spacing w:after="0" w:line="231" w:lineRule="exact"/>
        <w:rPr>
          <w:rFonts w:ascii="Arial" w:cs="Arial" w:eastAsia="Arial" w:hAnsi="Arial"/>
          <w:sz w:val="17"/>
          <w:szCs w:val="17"/>
          <w:color w:val="auto"/>
        </w:rPr>
      </w:pPr>
    </w:p>
    <w:p>
      <w:pPr>
        <w:jc w:val="both"/>
        <w:ind w:firstLine="616"/>
        <w:spacing w:after="0" w:line="270" w:lineRule="auto"/>
        <w:tabs>
          <w:tab w:leader="none" w:pos="101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When: (i) the issuance of the Units has been duly authorized by appropriate corporate action and the terms of the Units have been established in accordance with the resolutions of the Company's Board of Directors, including any appropriate committee appointed thereby, authorizing the issuance and sale of the Units, (ii) the applicable unit agreement (the "Unit Agreement") has been duly authorized by appropriate corporate action and validly executed and delivered by the Company, (iii) the Common Stock, Debt Securities and/or Warrants relating to such Units have been duly authorized for issuance, and (iv) the applicable Units have been duly completed, executed, authenticated, registered and delivered in accordance with the applicable Unit Agreement and sold pursuant to an Underwriting Agreement and as described in the Registration Statement, any amendment thereto, the Prospectus and any Prospectus Supplement relating thereto, then the Units will constitute legally valid and binding obligations of the Company, enforceable against the Company in accordance with their terms, except as enforcement thereof may be subject to or limited by bankruptcy, insolvency, reorganization, moratorium, arrangement, fraudulent conveyance, fraudulent transfer or other similar laws relating to or affecting creditors' rights generally, and subject to general principles of equity (regardless of whether enforcement is sought in a proceeding in equity or at law).</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rendering the opinions set forth above, we have assumed that:</w:t>
      </w:r>
    </w:p>
    <w:p>
      <w:pPr>
        <w:spacing w:after="0" w:line="252"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a.</w:t>
        <w:tab/>
        <w:t>the consideration paid for any Common Stock will comply with Florida Statutes, Section 607.0621 or any successor provision;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Brown &amp; Brown,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jc w:val="both"/>
        <w:ind w:left="980" w:hanging="324"/>
        <w:spacing w:after="0" w:line="259" w:lineRule="auto"/>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after issuance of the Common Stock, the total number of issued shares of Common Stock, together with the total number of shares of Common Stock reserved for issuance upon the exercise, exchange or conversion, as the case may be, of any exercisable, exchangeable or convertible security, as the case may be, then outstanding, will not exceed the total number of authorized shares of Common Stock under the Company's Articles of Incorporation.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laws covered by the opinions expressed herein are limited to the laws of the United States and the States of New York and Florida.</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Offered Securities may be issued from time to time on a delayed or continuous basis, and this opinion letter is limited to the laws, including the rules and regulations, as in effect on the date hereof, which laws are subject to change with possible retroactive effect. Our opinion is limited to the matters stated herein, and no opinion is to be implied or inferred beyond the matters stated herein.</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hereby consent to the filing of this opinion as an exhibit to the above-referenced Registration Statement and the use of our name wherever it appears in the Registration Statement, the Prospectus, the Prospectus Supplement, and in any amendment or supplement thereto. In giving such consent, we do not believe that we are "experts" within the meaning of such term used in the Act or the rules and regulations of the Commission issued thereunder with respect to any part of the Registration Statement, including this opinion as an exhibit or otherwise.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HOLLAND &amp; KNIGHT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40640</wp:posOffset>
            </wp:positionV>
            <wp:extent cx="252984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HOLLAND &amp; KNIGHT LLP</w:t>
      </w:r>
    </w:p>
    <w:p>
      <w:pPr>
        <w:sectPr>
          <w:pgSz w:w="11900" w:h="16838" w:orient="portrait"/>
          <w:cols w:equalWidth="0" w:num="1">
            <w:col w:w="11420"/>
          </w:cols>
          <w:pgMar w:left="240" w:top="368" w:right="239" w:bottom="1440" w:gutter="0" w:footer="0" w:header="0"/>
        </w:sectPr>
      </w:pPr>
    </w:p>
    <w:bookmarkStart w:id="79" w:name="page80"/>
    <w:bookmarkEnd w:id="79"/>
    <w:p>
      <w:pPr>
        <w:ind w:left="104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12.1</w:t>
      </w:r>
    </w:p>
    <w:p>
      <w:pPr>
        <w:spacing w:after="0" w:line="266" w:lineRule="exact"/>
        <w:rPr>
          <w:sz w:val="20"/>
          <w:szCs w:val="20"/>
          <w:color w:val="auto"/>
        </w:rPr>
      </w:pPr>
    </w:p>
    <w:p>
      <w:pPr>
        <w:ind w:left="2100"/>
        <w:spacing w:after="0"/>
        <w:rPr>
          <w:sz w:val="20"/>
          <w:szCs w:val="20"/>
          <w:color w:val="auto"/>
        </w:rPr>
      </w:pPr>
      <w:r>
        <w:rPr>
          <w:rFonts w:ascii="Arial" w:cs="Arial" w:eastAsia="Arial" w:hAnsi="Arial"/>
          <w:sz w:val="22"/>
          <w:szCs w:val="22"/>
          <w:b w:val="1"/>
          <w:bCs w:val="1"/>
          <w:color w:val="auto"/>
        </w:rPr>
        <w:t>STATEMENT REGARDING RATIO OF EARNINGS TO FIXED CHARGES</w:t>
      </w:r>
    </w:p>
    <w:p>
      <w:pPr>
        <w:spacing w:after="0" w:line="24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Brown &amp; Brown’s ratio of earnings to fixed charges for each of the periods indicated is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0" w:type="dxa"/>
            <w:vAlign w:val="bottom"/>
            <w:gridSpan w:val="12"/>
          </w:tcPr>
          <w:p>
            <w:pPr>
              <w:jc w:val="right"/>
              <w:ind w:right="220"/>
              <w:spacing w:after="0"/>
              <w:rPr>
                <w:sz w:val="20"/>
                <w:szCs w:val="20"/>
                <w:color w:val="auto"/>
              </w:rPr>
            </w:pPr>
            <w:r>
              <w:rPr>
                <w:rFonts w:ascii="Arial" w:cs="Arial" w:eastAsia="Arial" w:hAnsi="Arial"/>
                <w:sz w:val="18"/>
                <w:szCs w:val="18"/>
                <w:b w:val="1"/>
                <w:bCs w:val="1"/>
                <w:color w:val="auto"/>
              </w:rPr>
              <w:t>FOR THE YEAR ENDED DECEMBER 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2008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Fixed Charges: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60" w:type="dxa"/>
            <w:vAlign w:val="bottom"/>
          </w:tcPr>
          <w:p>
            <w:pPr>
              <w:ind w:left="180"/>
              <w:spacing w:after="0"/>
              <w:rPr>
                <w:sz w:val="20"/>
                <w:szCs w:val="20"/>
                <w:color w:val="auto"/>
              </w:rPr>
            </w:pPr>
            <w:r>
              <w:rPr>
                <w:rFonts w:ascii="Arial" w:cs="Arial" w:eastAsia="Arial" w:hAnsi="Arial"/>
                <w:sz w:val="18"/>
                <w:szCs w:val="18"/>
                <w:color w:val="auto"/>
              </w:rPr>
              <w:t>Interest expensed and capitalized</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14,690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13,802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13,357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14,469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7,156</w:t>
            </w:r>
          </w:p>
        </w:tc>
        <w:tc>
          <w:tcPr>
            <w:tcW w:w="0" w:type="dxa"/>
            <w:vAlign w:val="bottom"/>
          </w:tcPr>
          <w:p>
            <w:pPr>
              <w:spacing w:after="0"/>
              <w:rPr>
                <w:sz w:val="1"/>
                <w:szCs w:val="1"/>
                <w:color w:val="auto"/>
              </w:rPr>
            </w:pPr>
          </w:p>
        </w:tc>
      </w:tr>
      <w:tr>
        <w:trPr>
          <w:trHeight w:val="418"/>
        </w:trPr>
        <w:tc>
          <w:tcPr>
            <w:tcW w:w="5260" w:type="dxa"/>
            <w:vAlign w:val="bottom"/>
          </w:tcPr>
          <w:p>
            <w:pPr>
              <w:ind w:left="180"/>
              <w:spacing w:after="0"/>
              <w:rPr>
                <w:sz w:val="20"/>
                <w:szCs w:val="20"/>
                <w:color w:val="auto"/>
              </w:rPr>
            </w:pPr>
            <w:r>
              <w:rPr>
                <w:rFonts w:ascii="Arial" w:cs="Arial" w:eastAsia="Arial" w:hAnsi="Arial"/>
                <w:sz w:val="18"/>
                <w:szCs w:val="18"/>
                <w:color w:val="auto"/>
                <w:w w:val="94"/>
              </w:rPr>
              <w:t>Amortized premiums, discounts and capitalized expenses related to</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40"/>
              <w:spacing w:after="0"/>
              <w:rPr>
                <w:sz w:val="20"/>
                <w:szCs w:val="20"/>
                <w:color w:val="auto"/>
              </w:rPr>
            </w:pPr>
            <w:r>
              <w:rPr>
                <w:rFonts w:ascii="Arial" w:cs="Arial" w:eastAsia="Arial" w:hAnsi="Arial"/>
                <w:sz w:val="18"/>
                <w:szCs w:val="18"/>
                <w:color w:val="auto"/>
              </w:rPr>
              <w:t>indebtedness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5260" w:type="dxa"/>
            <w:vAlign w:val="bottom"/>
          </w:tcPr>
          <w:p>
            <w:pPr>
              <w:ind w:left="180"/>
              <w:spacing w:after="0"/>
              <w:rPr>
                <w:sz w:val="20"/>
                <w:szCs w:val="20"/>
                <w:color w:val="auto"/>
              </w:rPr>
            </w:pPr>
            <w:r>
              <w:rPr>
                <w:rFonts w:ascii="Arial" w:cs="Arial" w:eastAsia="Arial" w:hAnsi="Arial"/>
                <w:sz w:val="18"/>
                <w:szCs w:val="18"/>
                <w:color w:val="auto"/>
              </w:rPr>
              <w:t>Estimate of interest within rental expense</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260" w:type="dxa"/>
            <w:vAlign w:val="bottom"/>
          </w:tcPr>
          <w:p>
            <w:pPr>
              <w:ind w:left="180"/>
              <w:spacing w:after="0"/>
              <w:rPr>
                <w:sz w:val="20"/>
                <w:szCs w:val="20"/>
                <w:color w:val="auto"/>
              </w:rPr>
            </w:pPr>
            <w:r>
              <w:rPr>
                <w:rFonts w:ascii="Arial" w:cs="Arial" w:eastAsia="Arial" w:hAnsi="Arial"/>
                <w:sz w:val="18"/>
                <w:szCs w:val="18"/>
                <w:color w:val="auto"/>
              </w:rPr>
              <w:t>Preferenced security dividend requirements of consolidated</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340"/>
              <w:spacing w:after="0"/>
              <w:rPr>
                <w:sz w:val="20"/>
                <w:szCs w:val="20"/>
                <w:color w:val="auto"/>
              </w:rPr>
            </w:pPr>
            <w:r>
              <w:rPr>
                <w:rFonts w:ascii="Arial" w:cs="Arial" w:eastAsia="Arial" w:hAnsi="Arial"/>
                <w:sz w:val="18"/>
                <w:szCs w:val="18"/>
                <w:color w:val="auto"/>
              </w:rPr>
              <w:t>subsidiaries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5260" w:type="dxa"/>
            <w:vAlign w:val="bottom"/>
          </w:tcPr>
          <w:p>
            <w:pPr>
              <w:ind w:left="180"/>
              <w:spacing w:after="0"/>
              <w:rPr>
                <w:sz w:val="20"/>
                <w:szCs w:val="20"/>
                <w:color w:val="auto"/>
              </w:rPr>
            </w:pPr>
            <w:r>
              <w:rPr>
                <w:rFonts w:ascii="Arial" w:cs="Arial" w:eastAsia="Arial" w:hAnsi="Arial"/>
                <w:sz w:val="18"/>
                <w:szCs w:val="18"/>
                <w:b w:val="1"/>
                <w:bCs w:val="1"/>
                <w:color w:val="auto"/>
              </w:rPr>
              <w:t>Total Fixed Charges</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14,690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13,802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13,357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14,469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7,156</w:t>
            </w:r>
          </w:p>
        </w:tc>
        <w:tc>
          <w:tcPr>
            <w:tcW w:w="0" w:type="dxa"/>
            <w:vAlign w:val="bottom"/>
          </w:tcPr>
          <w:p>
            <w:pPr>
              <w:spacing w:after="0"/>
              <w:rPr>
                <w:sz w:val="1"/>
                <w:szCs w:val="1"/>
                <w:color w:val="auto"/>
              </w:rPr>
            </w:pPr>
          </w:p>
        </w:tc>
      </w:tr>
      <w:tr>
        <w:trPr>
          <w:trHeight w:val="21"/>
        </w:trPr>
        <w:tc>
          <w:tcPr>
            <w:tcW w:w="526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60" w:type="dxa"/>
            <w:vAlign w:val="bottom"/>
          </w:tcPr>
          <w:p>
            <w:pPr>
              <w:ind w:left="180"/>
              <w:spacing w:after="0"/>
              <w:rPr>
                <w:sz w:val="20"/>
                <w:szCs w:val="20"/>
                <w:color w:val="auto"/>
              </w:rPr>
            </w:pPr>
            <w:r>
              <w:rPr>
                <w:rFonts w:ascii="Arial" w:cs="Arial" w:eastAsia="Arial" w:hAnsi="Arial"/>
                <w:sz w:val="18"/>
                <w:szCs w:val="18"/>
                <w:color w:val="auto"/>
              </w:rPr>
              <w:t>Pretax income</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272,498</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311,527</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280,041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244,130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206,949</w:t>
            </w:r>
          </w:p>
        </w:tc>
        <w:tc>
          <w:tcPr>
            <w:tcW w:w="0" w:type="dxa"/>
            <w:vAlign w:val="bottom"/>
          </w:tcPr>
          <w:p>
            <w:pPr>
              <w:spacing w:after="0"/>
              <w:rPr>
                <w:sz w:val="1"/>
                <w:szCs w:val="1"/>
                <w:color w:val="auto"/>
              </w:rPr>
            </w:pP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Addback:</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60" w:type="dxa"/>
            <w:vAlign w:val="bottom"/>
          </w:tcPr>
          <w:p>
            <w:pPr>
              <w:ind w:left="180"/>
              <w:spacing w:after="0"/>
              <w:rPr>
                <w:sz w:val="20"/>
                <w:szCs w:val="20"/>
                <w:color w:val="auto"/>
              </w:rPr>
            </w:pPr>
            <w:r>
              <w:rPr>
                <w:rFonts w:ascii="Arial" w:cs="Arial" w:eastAsia="Arial" w:hAnsi="Arial"/>
                <w:sz w:val="18"/>
                <w:szCs w:val="18"/>
                <w:color w:val="auto"/>
              </w:rPr>
              <w:t>Fixed charges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14,690</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13,802</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13,357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14,469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7,156</w:t>
            </w:r>
          </w:p>
        </w:tc>
        <w:tc>
          <w:tcPr>
            <w:tcW w:w="0" w:type="dxa"/>
            <w:vAlign w:val="bottom"/>
          </w:tcPr>
          <w:p>
            <w:pPr>
              <w:spacing w:after="0"/>
              <w:rPr>
                <w:sz w:val="1"/>
                <w:szCs w:val="1"/>
                <w:color w:val="auto"/>
              </w:rPr>
            </w:pPr>
          </w:p>
        </w:tc>
      </w:tr>
      <w:tr>
        <w:trPr>
          <w:trHeight w:val="432"/>
        </w:trPr>
        <w:tc>
          <w:tcPr>
            <w:tcW w:w="5260" w:type="dxa"/>
            <w:vAlign w:val="bottom"/>
          </w:tcPr>
          <w:p>
            <w:pPr>
              <w:ind w:left="180"/>
              <w:spacing w:after="0"/>
              <w:rPr>
                <w:sz w:val="20"/>
                <w:szCs w:val="20"/>
                <w:color w:val="auto"/>
              </w:rPr>
            </w:pPr>
            <w:r>
              <w:rPr>
                <w:rFonts w:ascii="Arial" w:cs="Arial" w:eastAsia="Arial" w:hAnsi="Arial"/>
                <w:sz w:val="18"/>
                <w:szCs w:val="18"/>
                <w:color w:val="auto"/>
              </w:rPr>
              <w:t>Amortization of capitalized interest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5260" w:type="dxa"/>
            <w:vAlign w:val="bottom"/>
          </w:tcPr>
          <w:p>
            <w:pPr>
              <w:ind w:left="180"/>
              <w:spacing w:after="0"/>
              <w:rPr>
                <w:sz w:val="20"/>
                <w:szCs w:val="20"/>
                <w:color w:val="auto"/>
              </w:rPr>
            </w:pPr>
            <w:r>
              <w:rPr>
                <w:rFonts w:ascii="Arial" w:cs="Arial" w:eastAsia="Arial" w:hAnsi="Arial"/>
                <w:sz w:val="18"/>
                <w:szCs w:val="18"/>
                <w:color w:val="auto"/>
              </w:rPr>
              <w:t>Distributed income of equity investees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5260" w:type="dxa"/>
            <w:vAlign w:val="bottom"/>
          </w:tcPr>
          <w:p>
            <w:pPr>
              <w:ind w:left="180"/>
              <w:spacing w:after="0"/>
              <w:rPr>
                <w:sz w:val="20"/>
                <w:szCs w:val="20"/>
                <w:color w:val="auto"/>
              </w:rPr>
            </w:pPr>
            <w:r>
              <w:rPr>
                <w:rFonts w:ascii="Arial" w:cs="Arial" w:eastAsia="Arial" w:hAnsi="Arial"/>
                <w:sz w:val="18"/>
                <w:szCs w:val="18"/>
                <w:color w:val="auto"/>
              </w:rPr>
              <w:t>Losses of equity investees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Less: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60" w:type="dxa"/>
            <w:vAlign w:val="bottom"/>
          </w:tcPr>
          <w:p>
            <w:pPr>
              <w:ind w:left="180"/>
              <w:spacing w:after="0"/>
              <w:rPr>
                <w:sz w:val="20"/>
                <w:szCs w:val="20"/>
                <w:color w:val="auto"/>
              </w:rPr>
            </w:pPr>
            <w:r>
              <w:rPr>
                <w:rFonts w:ascii="Arial" w:cs="Arial" w:eastAsia="Arial" w:hAnsi="Arial"/>
                <w:sz w:val="18"/>
                <w:szCs w:val="18"/>
                <w:color w:val="auto"/>
              </w:rPr>
              <w:t>Interest capitalized</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260" w:type="dxa"/>
            <w:vAlign w:val="bottom"/>
          </w:tcPr>
          <w:p>
            <w:pPr>
              <w:ind w:left="180"/>
              <w:spacing w:after="0"/>
              <w:rPr>
                <w:sz w:val="20"/>
                <w:szCs w:val="20"/>
                <w:color w:val="auto"/>
              </w:rPr>
            </w:pPr>
            <w:r>
              <w:rPr>
                <w:rFonts w:ascii="Arial" w:cs="Arial" w:eastAsia="Arial" w:hAnsi="Arial"/>
                <w:sz w:val="18"/>
                <w:szCs w:val="18"/>
                <w:color w:val="auto"/>
              </w:rPr>
              <w:t>Preference security dividend requirement of consolidated</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40"/>
              <w:spacing w:after="0"/>
              <w:rPr>
                <w:sz w:val="20"/>
                <w:szCs w:val="20"/>
                <w:color w:val="auto"/>
              </w:rPr>
            </w:pPr>
            <w:r>
              <w:rPr>
                <w:rFonts w:ascii="Arial" w:cs="Arial" w:eastAsia="Arial" w:hAnsi="Arial"/>
                <w:sz w:val="18"/>
                <w:szCs w:val="18"/>
                <w:color w:val="auto"/>
              </w:rPr>
              <w:t>subsidiaries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5260" w:type="dxa"/>
            <w:vAlign w:val="bottom"/>
          </w:tcPr>
          <w:p>
            <w:pPr>
              <w:ind w:left="180"/>
              <w:spacing w:after="0"/>
              <w:rPr>
                <w:sz w:val="20"/>
                <w:szCs w:val="20"/>
                <w:color w:val="auto"/>
              </w:rPr>
            </w:pPr>
            <w:r>
              <w:rPr>
                <w:rFonts w:ascii="Arial" w:cs="Arial" w:eastAsia="Arial" w:hAnsi="Arial"/>
                <w:sz w:val="18"/>
                <w:szCs w:val="18"/>
                <w:color w:val="auto"/>
              </w:rPr>
              <w:t>Minority interest in pre-tax income of subsidiaries</w:t>
            </w: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5260" w:type="dxa"/>
            <w:vAlign w:val="bottom"/>
          </w:tcPr>
          <w:p>
            <w:pPr>
              <w:spacing w:after="0"/>
              <w:rPr>
                <w:sz w:val="20"/>
                <w:szCs w:val="20"/>
                <w:color w:val="auto"/>
              </w:rPr>
            </w:pPr>
            <w:r>
              <w:rPr>
                <w:rFonts w:ascii="Arial" w:cs="Arial" w:eastAsia="Arial" w:hAnsi="Arial"/>
                <w:sz w:val="18"/>
                <w:szCs w:val="18"/>
                <w:b w:val="1"/>
                <w:bCs w:val="1"/>
                <w:color w:val="auto"/>
              </w:rPr>
              <w:t>Total Earnings</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287,188</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325,329</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293,398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258,599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214,105</w:t>
            </w:r>
          </w:p>
        </w:tc>
        <w:tc>
          <w:tcPr>
            <w:tcW w:w="0" w:type="dxa"/>
            <w:vAlign w:val="bottom"/>
          </w:tcPr>
          <w:p>
            <w:pPr>
              <w:spacing w:after="0"/>
              <w:rPr>
                <w:sz w:val="1"/>
                <w:szCs w:val="1"/>
                <w:color w:val="auto"/>
              </w:rPr>
            </w:pPr>
          </w:p>
        </w:tc>
      </w:tr>
      <w:tr>
        <w:trPr>
          <w:trHeight w:val="21"/>
        </w:trPr>
        <w:tc>
          <w:tcPr>
            <w:tcW w:w="52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Ratio of Earnings to Fixed Charges</w:t>
            </w: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19.5</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23.6</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22.0</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17.9</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23.1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on Form S-3 of our reports dated March 2, 2009, relating to the financial statements of Brown &amp; Brown, Inc., and the effectiveness of Brown &amp; Brown’s internal control over financial reporting, appearing in the Annual Report on Form 10-K of Brown &amp; Brown, Inc. for the year ended December 31, 2008, and to the reference to us under the heading “Experts” in the Prospectus, which is part of this Registration Statement.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2009</w:t>
      </w:r>
    </w:p>
    <w:p>
      <w:pPr>
        <w:sectPr>
          <w:pgSz w:w="11900" w:h="16838" w:orient="portrait"/>
          <w:cols w:equalWidth="0" w:num="1">
            <w:col w:w="11420"/>
          </w:cols>
          <w:pgMar w:left="240" w:top="256"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24.1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undersigned constitutes and appoints Laurel L. Grammig, Thomas M. Donegan, Jr. and Cory T. Walker, or any of them, as his true and lawful attorney-in-fact and agent, with full power of substitution and resubstitution, for him and in his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SAMUEL P. BELL,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22860</wp:posOffset>
            </wp:positionV>
            <wp:extent cx="253873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Samuel P. Bell,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undersigned constitutes and appoints Laurel L. Grammig, Thomas M. Donegan, Jr. and Cory T. Walker, or any of them, as his true and lawful attorney-in-fact and agent, with full power of substitution and resubstitution, for him and in his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HUGH M. BROWN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253873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Hugh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ind w:firstLine="574"/>
        <w:spacing w:after="0" w:line="289" w:lineRule="auto"/>
        <w:rPr>
          <w:sz w:val="20"/>
          <w:szCs w:val="20"/>
          <w:color w:val="auto"/>
        </w:rPr>
      </w:pPr>
      <w:r>
        <w:rPr>
          <w:rFonts w:ascii="Arial" w:cs="Arial" w:eastAsia="Arial" w:hAnsi="Arial"/>
          <w:sz w:val="16"/>
          <w:szCs w:val="16"/>
          <w:color w:val="auto"/>
        </w:rPr>
        <w:t>The undersigned constitutes and appoints Laurel L. Grammig, Thomas M. Donegan, Jr. and Cory T. Walker, or any of them, as his true and lawful attorney-in-fact and agent, with full power of substitution and resubstitution, for him and in his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 HYATT BROWN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253873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 Hyatt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undersigned constitutes and appoints Laurel L. Grammig, Thomas M. Donegan, Jr. and Cory T. Walker, or any of them, as his true and lawful attorney-in-fact and agent, with full power of substitution and resubstitution, for him and in his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 POWELL BROWN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253873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 Powell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undersigned constitutes and appoints Laurel L. Grammig, Thomas M. Donegan, Jr. and Cory T. Walker, or any of them, as his true and lawful attorney-in-fact and agent, with full power of substitution and resubstitution, for him and in his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CURREY,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253873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Bradley Currey,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undersigned constitutes and appoints Laurel L. Grammig, Thomas M. Donegan, Jr. and Cory T. Walker, or any of them, as his true and lawful attorney-in-fact and agent, with full power of substitution and resubstitution, for him and in his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JIM W. HENDERSON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253873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Jim W.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undersigned constitutes and appoints Laurel L. Grammig, Thomas M. Donegan, Jr. and Cory T. Walker, or any of them, as his true and lawful attorney-in-fact and agent, with full power of substitution and resubstitution, for him and in his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THEODORE J. HOEPNER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253873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Theodore J. Hoepner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undersigned constitutes and appoints Laurel L. Grammig, Thomas M. Donegan, Jr. and Cory T. Walker, or any of them, as her true and lawful attorney-in-fact and agent, with full power of substitution and resubstitution, for her and in her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she might or could in person, hereby ratifying and confirming all that said attorneys-in-fact and agents, or their substitutes, may lawfully do or cause to be done by virtue hereof.</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TONI JENNINGS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253873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Toni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undersigned constitutes and appoints Laurel L. Grammig, Thomas M. Donegan, Jr. and Cory T. Walker, or any of them, as his true and lawful attorney-in-fact and agent, with full power of substitution and resubstitution, for him and in his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WENDELL S. REILLY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253873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Wendell S.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undersigned constitutes and appoints Laurel L. Grammig, Thomas M. Donegan, Jr. and Cory T. Walker, or any of them, as his true and lawful attorney-in-fact and agent, with full power of substitution and resubstitution, for him and in his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R. RIEDMAN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253873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R. 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undersigned constitutes and appoints Laurel L. Grammig, Thomas M. Donegan, Jr. and Cory T. Walker, or any of them, as his true and lawful attorney-in-fact and agent, with full power of substitution and resubstitution, for his and in his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JAN E.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253873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Jan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undersigned constitutes and appoints Laurel L. Grammig, Thomas M. Donegan, Jr. and Cory T. Walker, or any of them, as her true and lawful attorney-in-fact and agent, with full power of substitution and resubstitution, for her and in her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she might or could in person, hereby ratifying and confirming all that said attorneys-in-fact and agents, or their substitutes, may lawfully do or cause to be done by virtue hereof.</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CHILTON D. VARNER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253873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Chilton D. Varner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undersigned constitutes and appoints Laurel L. Grammig and Thomas M. Donegan, Jr., or any of them, as his true and lawful attorney-in-fact and agent, with full power of substitution and resubstitution, for him and in his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18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CORY T. WALKER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253873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Cory T. Walker</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1E3F1E"/>
    <w:multiLevelType w:val="hybridMultilevel"/>
    <w:lvl w:ilvl="0">
      <w:lvlJc w:val="left"/>
      <w:lvlText w:val="(%1)"/>
      <w:numFmt w:val="decimal"/>
      <w:start w:val="1"/>
    </w:lvl>
  </w:abstractNum>
  <w:abstractNum w:abstractNumId="1">
    <w:nsid w:val="5DC79EA8"/>
    <w:multiLevelType w:val="hybridMultilevel"/>
    <w:lvl w:ilvl="0">
      <w:lvlJc w:val="left"/>
      <w:lvlText w:val="\endash "/>
      <w:numFmt w:val="bullet"/>
      <w:start w:val="1"/>
    </w:lvl>
  </w:abstractNum>
  <w:abstractNum w:abstractNumId="2">
    <w:nsid w:val="540A471C"/>
    <w:multiLevelType w:val="hybridMultilevel"/>
    <w:lvl w:ilvl="0">
      <w:lvlJc w:val="left"/>
      <w:lvlText w:val="●"/>
      <w:numFmt w:val="bullet"/>
      <w:start w:val="1"/>
    </w:lvl>
  </w:abstractNum>
  <w:abstractNum w:abstractNumId="3">
    <w:nsid w:val="7BD3EE7B"/>
    <w:multiLevelType w:val="hybridMultilevel"/>
    <w:lvl w:ilvl="0">
      <w:lvlJc w:val="left"/>
      <w:lvlText w:val="●"/>
      <w:numFmt w:val="bullet"/>
      <w:start w:val="1"/>
    </w:lvl>
  </w:abstractNum>
  <w:abstractNum w:abstractNumId="4">
    <w:nsid w:val="51D9C564"/>
    <w:multiLevelType w:val="hybridMultilevel"/>
    <w:lvl w:ilvl="0">
      <w:lvlJc w:val="left"/>
      <w:lvlText w:val="●"/>
      <w:numFmt w:val="bullet"/>
      <w:start w:val="1"/>
    </w:lvl>
  </w:abstractNum>
  <w:abstractNum w:abstractNumId="5">
    <w:nsid w:val="613EFDC5"/>
    <w:multiLevelType w:val="hybridMultilevel"/>
    <w:lvl w:ilvl="0">
      <w:lvlJc w:val="left"/>
      <w:lvlText w:val="●"/>
      <w:numFmt w:val="bullet"/>
      <w:start w:val="1"/>
    </w:lvl>
  </w:abstractNum>
  <w:abstractNum w:abstractNumId="6">
    <w:nsid w:val="BF72B14"/>
    <w:multiLevelType w:val="hybridMultilevel"/>
    <w:lvl w:ilvl="0">
      <w:lvlJc w:val="left"/>
      <w:lvlText w:val="&amp;"/>
      <w:numFmt w:val="bullet"/>
      <w:start w:val="1"/>
    </w:lvl>
  </w:abstractNum>
  <w:abstractNum w:abstractNumId="7">
    <w:nsid w:val="11447B73"/>
    <w:multiLevelType w:val="hybridMultilevel"/>
    <w:lvl w:ilvl="0">
      <w:lvlJc w:val="left"/>
      <w:lvlText w:val="●"/>
      <w:numFmt w:val="bullet"/>
      <w:start w:val="1"/>
    </w:lvl>
  </w:abstractNum>
  <w:abstractNum w:abstractNumId="8">
    <w:nsid w:val="42963E5A"/>
    <w:multiLevelType w:val="hybridMultilevel"/>
    <w:lvl w:ilvl="0">
      <w:lvlJc w:val="left"/>
      <w:lvlText w:val="(%1)"/>
      <w:numFmt w:val="decimal"/>
      <w:start w:val="1"/>
    </w:lvl>
  </w:abstractNum>
  <w:abstractNum w:abstractNumId="9">
    <w:nsid w:val="A0382C5"/>
    <w:multiLevelType w:val="hybridMultilevel"/>
    <w:lvl w:ilvl="0">
      <w:lvlJc w:val="left"/>
      <w:lvlText w:val="*"/>
      <w:numFmt w:val="bullet"/>
      <w:start w:val="1"/>
    </w:lvl>
  </w:abstractNum>
  <w:abstractNum w:abstractNumId="10">
    <w:nsid w:val="8F2B15E"/>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lvl w:ilvl="3">
      <w:lvlJc w:val="left"/>
      <w:lvlText w:val="(%4)"/>
      <w:numFmt w:val="lowerRoman"/>
      <w:start w:val="2"/>
    </w:lvl>
  </w:abstractNum>
  <w:abstractNum w:abstractNumId="11">
    <w:nsid w:val="1A32234B"/>
    <w:multiLevelType w:val="hybridMultilevel"/>
    <w:lvl w:ilvl="0">
      <w:lvlJc w:val="left"/>
      <w:lvlText w:val="(%1)"/>
      <w:numFmt w:val="lowerRoman"/>
      <w:start w:val="3"/>
    </w:lvl>
  </w:abstractNum>
  <w:abstractNum w:abstractNumId="12">
    <w:nsid w:val="3B0FD379"/>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lvl w:ilvl="3">
      <w:lvlJc w:val="left"/>
      <w:lvlText w:val="(%4)"/>
      <w:numFmt w:val="decimal"/>
      <w:start w:val="3"/>
    </w:lvl>
    <w:lvl w:ilvl="4">
      <w:lvlJc w:val="left"/>
      <w:lvlText w:val="%5"/>
      <w:numFmt w:val="lowerRoman"/>
      <w:start w:val="1"/>
    </w:lvl>
    <w:lvl w:ilvl="5">
      <w:lvlJc w:val="left"/>
      <w:lvlText w:val="%6"/>
      <w:numFmt w:val="lowerRoman"/>
      <w:start w:val="1"/>
    </w:lvl>
  </w:abstractNum>
  <w:abstractNum w:abstractNumId="13">
    <w:nsid w:val="68EB2F63"/>
    <w:multiLevelType w:val="hybridMultilevel"/>
    <w:lvl w:ilvl="0">
      <w:lvlJc w:val="left"/>
      <w:lvlText w:val="(%1)"/>
      <w:numFmt w:val="decimal"/>
      <w:start w:val="4"/>
    </w:lvl>
    <w:lvl w:ilvl="1">
      <w:lvlJc w:val="left"/>
      <w:lvlText w:val="%2"/>
      <w:numFmt w:val="decimal"/>
      <w:start w:val="1"/>
    </w:lvl>
    <w:lvl w:ilvl="2">
      <w:lvlJc w:val="left"/>
      <w:lvlText w:val="(%3)"/>
      <w:numFmt w:val="decimal"/>
      <w:start w:val="4"/>
    </w:lvl>
    <w:lvl w:ilvl="3">
      <w:lvlJc w:val="left"/>
      <w:lvlText w:val="%4"/>
      <w:numFmt w:val="decimal"/>
      <w:start w:val="1"/>
    </w:lvl>
    <w:lvl w:ilvl="4">
      <w:lvlJc w:val="left"/>
      <w:lvlText w:val="(%5)"/>
      <w:numFmt w:val="lowerRoman"/>
      <w:start w:val="1"/>
    </w:lvl>
    <w:lvl w:ilvl="5">
      <w:lvlJc w:val="left"/>
      <w:lvlText w:val="(%6)"/>
      <w:numFmt w:val="lowerRoman"/>
      <w:start w:val="2"/>
    </w:lvl>
  </w:abstractNum>
  <w:abstractNum w:abstractNumId="14">
    <w:nsid w:val="4962813B"/>
    <w:multiLevelType w:val="hybridMultilevel"/>
    <w:lvl w:ilvl="0">
      <w:lvlJc w:val="left"/>
      <w:lvlText w:val="%1"/>
      <w:numFmt w:val="lowerRoman"/>
      <w:start w:val="1"/>
    </w:lvl>
    <w:lvl w:ilvl="1">
      <w:lvlJc w:val="left"/>
      <w:lvlText w:val="(%2)"/>
      <w:numFmt w:val="lowerRoman"/>
      <w:start w:val="1"/>
    </w:lvl>
  </w:abstractNum>
  <w:abstractNum w:abstractNumId="15">
    <w:nsid w:val="60B6DF70"/>
    <w:multiLevelType w:val="hybridMultilevel"/>
    <w:lvl w:ilvl="0">
      <w:lvlJc w:val="left"/>
      <w:lvlText w:val="(%1)"/>
      <w:numFmt w:val="lowerRoman"/>
      <w:start w:val="2"/>
    </w:lvl>
    <w:lvl w:ilvl="1">
      <w:lvlJc w:val="left"/>
      <w:lvlText w:val="%2"/>
      <w:numFmt w:val="lowerRoman"/>
      <w:start w:val="1"/>
    </w:lvl>
  </w:abstractNum>
  <w:abstractNum w:abstractNumId="16">
    <w:nsid w:val="6A5EE64"/>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lvl w:ilvl="3">
      <w:lvlJc w:val="left"/>
      <w:lvlText w:val="%4"/>
      <w:numFmt w:val="decimal"/>
      <w:start w:val="1"/>
    </w:lvl>
    <w:lvl w:ilvl="4">
      <w:lvlJc w:val="left"/>
      <w:lvlText w:val="%5"/>
      <w:numFmt w:val="lowerRoman"/>
      <w:start w:val="1"/>
    </w:lvl>
    <w:lvl w:ilvl="5">
      <w:lvlJc w:val="left"/>
      <w:lvlText w:val="(%6)"/>
      <w:numFmt w:val="lowerRoman"/>
      <w:start w:val="3"/>
    </w:lvl>
  </w:abstractNum>
  <w:abstractNum w:abstractNumId="17">
    <w:nsid w:val="14330624"/>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lvl w:ilvl="3">
      <w:lvlJc w:val="left"/>
      <w:lvlText w:val="%4"/>
      <w:numFmt w:val="decimal"/>
      <w:start w:val="1"/>
    </w:lvl>
    <w:lvl w:ilvl="4">
      <w:lvlJc w:val="left"/>
      <w:lvlText w:val="(%5)"/>
      <w:numFmt w:val="lowerRoman"/>
      <w:start w:val="4"/>
    </w:lvl>
    <w:lvl w:ilvl="5">
      <w:lvlJc w:val="left"/>
      <w:lvlText w:val="%6"/>
      <w:numFmt w:val="lowerRoman"/>
      <w:start w:val="1"/>
    </w:lvl>
  </w:abstractNum>
  <w:abstractNum w:abstractNumId="18">
    <w:nsid w:val="7FFFCA11"/>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lvl w:ilvl="3">
      <w:lvlJc w:val="left"/>
      <w:lvlText w:val="(%4)"/>
      <w:numFmt w:val="decimal"/>
      <w:start w:val="6"/>
    </w:lvl>
    <w:lvl w:ilvl="4">
      <w:lvlJc w:val="left"/>
      <w:lvlText w:val="%5"/>
      <w:numFmt w:val="lowerRoman"/>
      <w:start w:val="1"/>
    </w:lvl>
    <w:lvl w:ilvl="5">
      <w:lvlJc w:val="left"/>
      <w:lvlText w:val="%6"/>
      <w:numFmt w:val="lowerRoman"/>
      <w:start w:val="1"/>
    </w:lvl>
  </w:abstractNum>
  <w:abstractNum w:abstractNumId="19">
    <w:nsid w:val="1A27709E"/>
    <w:multiLevelType w:val="hybridMultilevel"/>
    <w:lvl w:ilvl="0">
      <w:lvlJc w:val="left"/>
      <w:lvlText w:val="%1"/>
      <w:numFmt w:val="upperLetter"/>
      <w:start w:val="1"/>
    </w:lvl>
    <w:lvl w:ilvl="1">
      <w:lvlJc w:val="left"/>
      <w:lvlText w:val="(%2)"/>
      <w:numFmt w:val="upperLetter"/>
      <w:start w:val="2"/>
    </w:lvl>
    <w:lvl w:ilvl="2">
      <w:lvlJc w:val="left"/>
      <w:lvlText w:val="(%3)"/>
      <w:numFmt w:val="upperLetter"/>
      <w:start w:val="3"/>
    </w:lvl>
    <w:lvl w:ilvl="3">
      <w:lvlJc w:val="left"/>
      <w:lvlText w:val="%4"/>
      <w:numFmt w:val="decimal"/>
      <w:start w:val="1"/>
    </w:lvl>
    <w:lvl w:ilvl="4">
      <w:lvlJc w:val="left"/>
      <w:lvlText w:val="%5"/>
      <w:numFmt w:val="lowerRoman"/>
      <w:start w:val="1"/>
    </w:lvl>
    <w:lvl w:ilvl="5">
      <w:lvlJc w:val="left"/>
      <w:lvlText w:val="%6"/>
      <w:numFmt w:val="lowerRoman"/>
      <w:start w:val="1"/>
    </w:lvl>
  </w:abstractNum>
  <w:abstractNum w:abstractNumId="20">
    <w:nsid w:val="71EA1109"/>
    <w:multiLevelType w:val="hybridMultilevel"/>
    <w:lvl w:ilvl="0">
      <w:lvlJc w:val="left"/>
      <w:lvlText w:val="(%1)"/>
      <w:numFmt w:val="upperLetter"/>
      <w:start w:val="4"/>
    </w:lvl>
    <w:lvl w:ilvl="1">
      <w:lvlJc w:val="left"/>
      <w:lvlText w:val="%2"/>
      <w:numFmt w:val="upperLetter"/>
      <w:start w:val="1"/>
    </w:lvl>
    <w:lvl w:ilvl="2">
      <w:lvlJc w:val="left"/>
      <w:lvlText w:val="%3"/>
      <w:numFmt w:val="upperLetter"/>
      <w:start w:val="1"/>
    </w:lvl>
    <w:lvl w:ilvl="3">
      <w:lvlJc w:val="left"/>
      <w:lvlText w:val="%4"/>
      <w:numFmt w:val="decimal"/>
      <w:start w:val="1"/>
    </w:lvl>
    <w:lvl w:ilvl="4">
      <w:lvlJc w:val="left"/>
      <w:lvlText w:val="%5"/>
      <w:numFmt w:val="lowerRoman"/>
      <w:start w:val="1"/>
    </w:lvl>
    <w:lvl w:ilvl="5">
      <w:lvlJc w:val="left"/>
      <w:lvlText w:val="%6"/>
      <w:numFmt w:val="lowerRoman"/>
      <w:start w:val="1"/>
    </w:lvl>
  </w:abstractNum>
  <w:abstractNum w:abstractNumId="21">
    <w:nsid w:val="100F59DC"/>
    <w:multiLevelType w:val="hybridMultilevel"/>
    <w:lvl w:ilvl="0">
      <w:lvlJc w:val="left"/>
      <w:lvlText w:val="*"/>
      <w:numFmt w:val="bullet"/>
      <w:start w:val="1"/>
    </w:lvl>
  </w:abstractNum>
  <w:abstractNum w:abstractNumId="22">
    <w:nsid w:val="7FB7E0AA"/>
    <w:multiLevelType w:val="hybridMultilevel"/>
    <w:lvl w:ilvl="0">
      <w:lvlJc w:val="left"/>
      <w:lvlText w:val="["/>
      <w:numFmt w:val="bullet"/>
      <w:start w:val="1"/>
    </w:lvl>
  </w:abstractNum>
  <w:abstractNum w:abstractNumId="23">
    <w:nsid w:val="6EB5BD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4"/>
    </w:lvl>
    <w:lvl w:ilvl="3">
      <w:lvlJc w:val="left"/>
      <w:lvlText w:val="(%4)"/>
      <w:numFmt w:val="lowerLetter"/>
      <w:start w:val="2"/>
    </w:lvl>
  </w:abstractNum>
  <w:abstractNum w:abstractNumId="24">
    <w:nsid w:val="6F6DD9AC"/>
    <w:multiLevelType w:val="hybridMultilevel"/>
    <w:lvl w:ilvl="0">
      <w:lvlJc w:val="left"/>
      <w:lvlText w:val="%1"/>
      <w:numFmt w:val="lowerLetter"/>
      <w:start w:val="1"/>
    </w:lvl>
    <w:lvl w:ilvl="1">
      <w:lvlJc w:val="left"/>
      <w:lvlText w:val="(%2)"/>
      <w:numFmt w:val="lowerLetter"/>
      <w:start w:val="1"/>
    </w:lvl>
  </w:abstractNum>
  <w:abstractNum w:abstractNumId="25">
    <w:nsid w:val="94211F2"/>
    <w:multiLevelType w:val="hybridMultilevel"/>
    <w:lvl w:ilvl="0">
      <w:lvlJc w:val="left"/>
      <w:lvlText w:val="(%1)"/>
      <w:numFmt w:val="lowerLetter"/>
      <w:start w:val="2"/>
    </w:lvl>
    <w:lvl w:ilvl="1">
      <w:lvlJc w:val="left"/>
      <w:lvlText w:val="%2"/>
      <w:numFmt w:val="lowerLetter"/>
      <w:start w:val="1"/>
    </w:lvl>
  </w:abstractNum>
  <w:abstractNum w:abstractNumId="26">
    <w:nsid w:val="885E1B"/>
    <w:multiLevelType w:val="hybridMultilevel"/>
    <w:lvl w:ilvl="0">
      <w:lvlJc w:val="left"/>
      <w:lvlText w:val="(%1)"/>
      <w:numFmt w:val="lowerLetter"/>
      <w:start w:val="1"/>
    </w:lvl>
    <w:lvl w:ilvl="1">
      <w:lvlJc w:val="left"/>
      <w:lvlText w:val="(%2)"/>
      <w:numFmt w:val="lowerLetter"/>
      <w:start w:val="2"/>
    </w:lvl>
  </w:abstractNum>
  <w:abstractNum w:abstractNumId="27">
    <w:nsid w:val="76272110"/>
    <w:multiLevelType w:val="hybridMultilevel"/>
    <w:lvl w:ilvl="0">
      <w:lvlJc w:val="left"/>
      <w:lvlText w:val="(%1)"/>
      <w:numFmt w:val="lowerLetter"/>
      <w:start w:val="3"/>
    </w:lvl>
    <w:lvl w:ilvl="1">
      <w:lvlJc w:val="left"/>
      <w:lvlText w:val="(%2)"/>
      <w:numFmt w:val="lowerLetter"/>
      <w:start w:val="4"/>
    </w:lvl>
  </w:abstractNum>
  <w:abstractNum w:abstractNumId="28">
    <w:nsid w:val="4C04A8AF"/>
    <w:multiLevelType w:val="hybridMultilevel"/>
    <w:lvl w:ilvl="0">
      <w:lvlJc w:val="left"/>
      <w:lvlText w:val="(%1)"/>
      <w:numFmt w:val="lowerLetter"/>
      <w:start w:val="1"/>
    </w:lvl>
    <w:lvl w:ilvl="1">
      <w:lvlJc w:val="left"/>
      <w:lvlText w:val="(%2)"/>
      <w:numFmt w:val="lowerLetter"/>
      <w:start w:val="2"/>
    </w:lvl>
  </w:abstractNum>
  <w:abstractNum w:abstractNumId="29">
    <w:nsid w:val="1716703B"/>
    <w:multiLevelType w:val="hybridMultilevel"/>
    <w:lvl w:ilvl="0">
      <w:lvlJc w:val="left"/>
      <w:lvlText w:val="(%1)"/>
      <w:numFmt w:val="lowerLetter"/>
      <w:start w:val="3"/>
    </w:lvl>
  </w:abstractNum>
  <w:abstractNum w:abstractNumId="30">
    <w:nsid w:val="14E17E33"/>
    <w:multiLevelType w:val="hybridMultilevel"/>
    <w:lvl w:ilvl="0">
      <w:lvlJc w:val="left"/>
      <w:lvlText w:val="%1"/>
      <w:numFmt w:val="lowerLetter"/>
      <w:start w:val="1"/>
    </w:lvl>
    <w:lvl w:ilvl="1">
      <w:lvlJc w:val="left"/>
      <w:lvlText w:val="(%2)"/>
      <w:numFmt w:val="lowerLetter"/>
      <w:start w:val="1"/>
    </w:lvl>
  </w:abstractNum>
  <w:abstractNum w:abstractNumId="31">
    <w:nsid w:val="3222E7CD"/>
    <w:multiLevelType w:val="hybridMultilevel"/>
    <w:lvl w:ilvl="0">
      <w:lvlJc w:val="left"/>
      <w:lvlText w:val="(%1)"/>
      <w:numFmt w:val="lowerLetter"/>
      <w:start w:val="2"/>
    </w:lvl>
    <w:lvl w:ilvl="1">
      <w:lvlJc w:val="left"/>
      <w:lvlText w:val="%2"/>
      <w:numFmt w:val="lowerLetter"/>
      <w:start w:val="1"/>
    </w:lvl>
  </w:abstractNum>
  <w:abstractNum w:abstractNumId="32">
    <w:nsid w:val="74DE0EE3"/>
    <w:multiLevelType w:val="hybridMultilevel"/>
    <w:lvl w:ilvl="0">
      <w:lvlJc w:val="left"/>
      <w:lvlText w:val="%1"/>
      <w:numFmt w:val="lowerLetter"/>
      <w:start w:val="1"/>
    </w:lvl>
    <w:lvl w:ilvl="1">
      <w:lvlJc w:val="left"/>
      <w:lvlText w:val="(%2)"/>
      <w:numFmt w:val="lowerLetter"/>
      <w:start w:val="1"/>
    </w:lvl>
  </w:abstractNum>
  <w:abstractNum w:abstractNumId="33">
    <w:nsid w:val="68EBC550"/>
    <w:multiLevelType w:val="hybridMultilevel"/>
    <w:lvl w:ilvl="0">
      <w:lvlJc w:val="left"/>
      <w:lvlText w:val="(%1)"/>
      <w:numFmt w:val="lowerLetter"/>
      <w:start w:val="2"/>
    </w:lvl>
    <w:lvl w:ilvl="1">
      <w:lvlJc w:val="left"/>
      <w:lvlText w:val="%2"/>
      <w:numFmt w:val="lowerLetter"/>
      <w:start w:val="1"/>
    </w:lvl>
  </w:abstractNum>
  <w:abstractNum w:abstractNumId="34">
    <w:nsid w:val="2DF6D64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5">
    <w:nsid w:val="46B7D447"/>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36">
    <w:nsid w:val="4A2AC315"/>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37">
    <w:nsid w:val="39EE015C"/>
    <w:multiLevelType w:val="hybridMultilevel"/>
    <w:lvl w:ilvl="0">
      <w:lvlJc w:val="left"/>
      <w:lvlText w:val="(%1)"/>
      <w:numFmt w:val="lowerLetter"/>
      <w:start w:val="1"/>
    </w:lvl>
    <w:lvl w:ilvl="1">
      <w:lvlJc w:val="left"/>
      <w:lvlText w:val="(%2)"/>
      <w:numFmt w:val="lowerLetter"/>
      <w:start w:val="3"/>
    </w:lvl>
  </w:abstractNum>
  <w:abstractNum w:abstractNumId="38">
    <w:nsid w:val="57FC4FBB"/>
    <w:multiLevelType w:val="hybridMultilevel"/>
    <w:lvl w:ilvl="0">
      <w:lvlJc w:val="left"/>
      <w:lvlText w:val="(%1)"/>
      <w:numFmt w:val="lowerLetter"/>
      <w:start w:val="4"/>
    </w:lvl>
    <w:lvl w:ilvl="1">
      <w:lvlJc w:val="left"/>
      <w:lvlText w:val="(%2)"/>
      <w:numFmt w:val="lowerLetter"/>
      <w:start w:val="5"/>
    </w:lvl>
  </w:abstractNum>
  <w:abstractNum w:abstractNumId="39">
    <w:nsid w:val="CC1016F"/>
    <w:multiLevelType w:val="hybridMultilevel"/>
    <w:lvl w:ilvl="0">
      <w:lvlJc w:val="left"/>
      <w:lvlText w:val="%1"/>
      <w:numFmt w:val="lowerLetter"/>
      <w:start w:val="1"/>
    </w:lvl>
    <w:lvl w:ilvl="1">
      <w:lvlJc w:val="left"/>
      <w:lvlText w:val="(%2)"/>
      <w:numFmt w:val="lowerLetter"/>
      <w:start w:val="8"/>
    </w:lvl>
    <w:lvl w:ilvl="2">
      <w:lvlJc w:val="left"/>
      <w:lvlText w:val="(%3)"/>
      <w:numFmt w:val="lowerLetter"/>
      <w:start w:val="10"/>
    </w:lvl>
  </w:abstractNum>
  <w:abstractNum w:abstractNumId="40">
    <w:nsid w:val="43F18422"/>
    <w:multiLevelType w:val="hybridMultilevel"/>
    <w:lvl w:ilvl="0">
      <w:lvlJc w:val="left"/>
      <w:lvlText w:val="(%1)"/>
      <w:numFmt w:val="lowerLetter"/>
      <w:start w:val="11"/>
    </w:lvl>
    <w:lvl w:ilvl="1">
      <w:lvlJc w:val="left"/>
      <w:lvlText w:val="(%2)"/>
      <w:numFmt w:val="lowerLetter"/>
      <w:start w:val="12"/>
    </w:lvl>
    <w:lvl w:ilvl="2">
      <w:lvlJc w:val="left"/>
      <w:lvlText w:val="(%3)"/>
      <w:numFmt w:val="lowerLetter"/>
      <w:start w:val="13"/>
    </w:lvl>
  </w:abstractNum>
  <w:abstractNum w:abstractNumId="41">
    <w:nsid w:val="60EF0119"/>
    <w:multiLevelType w:val="hybridMultilevel"/>
    <w:lvl w:ilvl="0">
      <w:lvlJc w:val="left"/>
      <w:lvlText w:val="(%1)"/>
      <w:numFmt w:val="lowerLetter"/>
      <w:start w:val="14"/>
    </w:lvl>
    <w:lvl w:ilvl="1">
      <w:lvlJc w:val="left"/>
      <w:lvlText w:val="(%2)"/>
      <w:numFmt w:val="lowerLetter"/>
      <w:start w:val="18"/>
    </w:lvl>
  </w:abstractNum>
  <w:abstractNum w:abstractNumId="42">
    <w:nsid w:val="26F324BA"/>
    <w:multiLevelType w:val="hybridMultilevel"/>
    <w:lvl w:ilvl="0">
      <w:lvlJc w:val="left"/>
      <w:lvlText w:val="(%1)"/>
      <w:numFmt w:val="lowerLetter"/>
      <w:start w:val="19"/>
    </w:lvl>
    <w:lvl w:ilvl="1">
      <w:lvlJc w:val="left"/>
      <w:lvlText w:val="(%2)"/>
      <w:numFmt w:val="lowerLetter"/>
      <w:start w:val="22"/>
    </w:lvl>
  </w:abstractNum>
  <w:abstractNum w:abstractNumId="43">
    <w:nsid w:val="7F01579B"/>
    <w:multiLevelType w:val="hybridMultilevel"/>
    <w:lvl w:ilvl="0">
      <w:lvlJc w:val="left"/>
      <w:lvlText w:val="(%1)"/>
      <w:numFmt w:val="lowerLetter"/>
      <w:start w:val="23"/>
    </w:lvl>
    <w:lvl w:ilvl="1">
      <w:lvlJc w:val="left"/>
      <w:lvlText w:val="(%2)"/>
      <w:numFmt w:val="lowerLetter"/>
      <w:start w:val="24"/>
    </w:lvl>
  </w:abstractNum>
  <w:abstractNum w:abstractNumId="44">
    <w:nsid w:val="49DA307D"/>
    <w:multiLevelType w:val="hybridMultilevel"/>
    <w:lvl w:ilvl="0">
      <w:lvlJc w:val="left"/>
      <w:lvlText w:val="(%1)"/>
      <w:numFmt w:val="lowerLetter"/>
      <w:start w:val="25"/>
    </w:lvl>
    <w:lvl w:ilvl="1">
      <w:lvlJc w:val="left"/>
      <w:lvlText w:val="(%2)"/>
      <w:numFmt w:val="lowerLetter"/>
      <w:start w:val="26"/>
    </w:lvl>
  </w:abstractNum>
  <w:abstractNum w:abstractNumId="45">
    <w:nsid w:val="7055A5F5"/>
    <w:multiLevelType w:val="hybridMultilevel"/>
    <w:lvl w:ilvl="0">
      <w:lvlJc w:val="left"/>
      <w:lvlText w:val="%1"/>
      <w:numFmt w:val="lowerLetter"/>
      <w:start w:val="1"/>
    </w:lvl>
    <w:lvl w:ilvl="1">
      <w:lvlJc w:val="left"/>
      <w:lvlText w:val="(%2)"/>
      <w:numFmt w:val="lowerLetter"/>
      <w:start w:val="1"/>
    </w:lvl>
  </w:abstractNum>
  <w:abstractNum w:abstractNumId="46">
    <w:nsid w:val="5FB8370B"/>
    <w:multiLevelType w:val="hybridMultilevel"/>
    <w:lvl w:ilvl="0">
      <w:lvlJc w:val="left"/>
      <w:lvlText w:val="(%1)"/>
      <w:numFmt w:val="lowerLetter"/>
      <w:start w:val="2"/>
    </w:lvl>
    <w:lvl w:ilvl="1">
      <w:lvlJc w:val="left"/>
      <w:lvlText w:val="(%2)"/>
      <w:numFmt w:val="lowerLetter"/>
      <w:start w:val="5"/>
    </w:lvl>
  </w:abstractNum>
  <w:abstractNum w:abstractNumId="47">
    <w:nsid w:val="50801EE1"/>
    <w:multiLevelType w:val="hybridMultilevel"/>
    <w:lvl w:ilvl="0">
      <w:lvlJc w:val="left"/>
      <w:lvlText w:val="(%1)"/>
      <w:numFmt w:val="lowerLetter"/>
      <w:start w:val="7"/>
    </w:lvl>
  </w:abstractNum>
  <w:abstractNum w:abstractNumId="48">
    <w:nsid w:val="488AC1A"/>
    <w:multiLevelType w:val="hybridMultilevel"/>
    <w:lvl w:ilvl="0">
      <w:lvlJc w:val="left"/>
      <w:lvlText w:val="(%1)"/>
      <w:numFmt w:val="lowerLetter"/>
      <w:start w:val="8"/>
    </w:lvl>
  </w:abstractNum>
  <w:abstractNum w:abstractNumId="49">
    <w:nsid w:val="5FB8011C"/>
    <w:multiLevelType w:val="hybridMultilevel"/>
    <w:lvl w:ilvl="0">
      <w:lvlJc w:val="left"/>
      <w:lvlText w:val="(%1)"/>
      <w:numFmt w:val="lowerLetter"/>
      <w:start w:val="1"/>
    </w:lvl>
  </w:abstractNum>
  <w:abstractNum w:abstractNumId="50">
    <w:nsid w:val="6AA78F7F"/>
    <w:multiLevelType w:val="hybridMultilevel"/>
    <w:lvl w:ilvl="0">
      <w:lvlJc w:val="left"/>
      <w:lvlText w:val="%1"/>
      <w:numFmt w:val="lowerLetter"/>
      <w:start w:val="1"/>
    </w:lvl>
    <w:lvl w:ilvl="1">
      <w:lvlJc w:val="left"/>
      <w:lvlText w:val="(%2)"/>
      <w:numFmt w:val="lowerLetter"/>
      <w:start w:val="2"/>
    </w:lvl>
  </w:abstractNum>
  <w:abstractNum w:abstractNumId="51">
    <w:nsid w:val="7672BD23"/>
    <w:multiLevelType w:val="hybridMultilevel"/>
    <w:lvl w:ilvl="0">
      <w:lvlJc w:val="left"/>
      <w:lvlText w:val="(%1)"/>
      <w:numFmt w:val="lowerLetter"/>
      <w:start w:val="3"/>
    </w:lvl>
    <w:lvl w:ilvl="1">
      <w:lvlJc w:val="left"/>
      <w:lvlText w:val="%2"/>
      <w:numFmt w:val="lowerLetter"/>
      <w:start w:val="1"/>
    </w:lvl>
  </w:abstractNum>
  <w:abstractNum w:abstractNumId="52">
    <w:nsid w:val="6FC75AF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53">
    <w:nsid w:val="6A5F7029"/>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1"/>
    </w:lvl>
  </w:abstractNum>
  <w:abstractNum w:abstractNumId="54">
    <w:nsid w:val="7D5E18F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55">
    <w:nsid w:val="5F3534A4"/>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56">
    <w:nsid w:val="73A1821B"/>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lvl w:ilvl="3">
      <w:lvlJc w:val="left"/>
      <w:lvlText w:val="(%4)"/>
      <w:numFmt w:val="upperLetter"/>
      <w:start w:val="2"/>
    </w:lvl>
    <w:lvl w:ilvl="4">
      <w:lvlJc w:val="left"/>
      <w:lvlText w:val="(%5)"/>
      <w:numFmt w:val="upperLetter"/>
      <w:start w:val="2"/>
    </w:lvl>
  </w:abstractNum>
  <w:abstractNum w:abstractNumId="57">
    <w:nsid w:val="7DE67713"/>
    <w:multiLevelType w:val="hybridMultilevel"/>
    <w:lvl w:ilvl="0">
      <w:lvlJc w:val="left"/>
      <w:lvlText w:val="(%1)"/>
      <w:numFmt w:val="lowerRoman"/>
      <w:start w:val="3"/>
    </w:lvl>
    <w:lvl w:ilvl="1">
      <w:lvlJc w:val="left"/>
      <w:lvlText w:val="%2"/>
      <w:numFmt w:val="lowerRoman"/>
      <w:start w:val="1"/>
    </w:lvl>
    <w:lvl w:ilvl="2">
      <w:lvlJc w:val="left"/>
      <w:lvlText w:val="%3"/>
      <w:numFmt w:val="upperLetter"/>
      <w:start w:val="1"/>
    </w:lvl>
    <w:lvl w:ilvl="3">
      <w:lvlJc w:val="left"/>
      <w:lvlText w:val="%4"/>
      <w:numFmt w:val="upperLetter"/>
      <w:start w:val="1"/>
    </w:lvl>
    <w:lvl w:ilvl="4">
      <w:lvlJc w:val="left"/>
      <w:lvlText w:val="%5"/>
      <w:numFmt w:val="upperLetter"/>
      <w:start w:val="1"/>
    </w:lvl>
  </w:abstractNum>
  <w:abstractNum w:abstractNumId="58">
    <w:nsid w:val="555C55B5"/>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upperLetter"/>
      <w:start w:val="1"/>
    </w:lvl>
    <w:lvl w:ilvl="5">
      <w:lvlJc w:val="left"/>
      <w:lvlText w:val="(%6)"/>
      <w:numFmt w:val="upperLetter"/>
      <w:start w:val="2"/>
    </w:lvl>
  </w:abstractNum>
  <w:abstractNum w:abstractNumId="59">
    <w:nsid w:val="3FA62ACA"/>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lvl w:ilvl="3">
      <w:lvlJc w:val="left"/>
      <w:lvlText w:val="(%4)"/>
      <w:numFmt w:val="lowerRoman"/>
      <w:start w:val="4"/>
    </w:lvl>
    <w:lvl w:ilvl="4">
      <w:lvlJc w:val="left"/>
      <w:lvlText w:val="%5"/>
      <w:numFmt w:val="upperLetter"/>
      <w:start w:val="1"/>
    </w:lvl>
    <w:lvl w:ilvl="5">
      <w:lvlJc w:val="left"/>
      <w:lvlText w:val="%6"/>
      <w:numFmt w:val="upperLetter"/>
      <w:start w:val="1"/>
    </w:lvl>
  </w:abstractNum>
  <w:abstractNum w:abstractNumId="60">
    <w:nsid w:val="14FCE74E"/>
    <w:multiLevelType w:val="hybridMultilevel"/>
    <w:lvl w:ilvl="0">
      <w:lvlJc w:val="left"/>
      <w:lvlText w:val="%1"/>
      <w:numFmt w:val="lowerRoman"/>
      <w:start w:val="1"/>
    </w:lvl>
    <w:lvl w:ilvl="1">
      <w:lvlJc w:val="left"/>
      <w:lvlText w:val="(%2)"/>
      <w:numFmt w:val="lowerLetter"/>
      <w:start w:val="4"/>
    </w:lvl>
    <w:lvl w:ilvl="2">
      <w:lvlJc w:val="left"/>
      <w:lvlText w:val="(%3)"/>
      <w:numFmt w:val="lowerLetter"/>
      <w:start w:val="8"/>
    </w:lvl>
    <w:lvl w:ilvl="3">
      <w:lvlJc w:val="left"/>
      <w:lvlText w:val="%4"/>
      <w:numFmt w:val="lowerRoman"/>
      <w:start w:val="1"/>
    </w:lvl>
    <w:lvl w:ilvl="4">
      <w:lvlJc w:val="left"/>
      <w:lvlText w:val="%5"/>
      <w:numFmt w:val="upperLetter"/>
      <w:start w:val="1"/>
    </w:lvl>
    <w:lvl w:ilvl="5">
      <w:lvlJc w:val="left"/>
      <w:lvlText w:val="%6"/>
      <w:numFmt w:val="upperLetter"/>
      <w:start w:val="1"/>
    </w:lvl>
  </w:abstractNum>
  <w:abstractNum w:abstractNumId="61">
    <w:nsid w:val="6A3DD3E8"/>
    <w:multiLevelType w:val="hybridMultilevel"/>
    <w:lvl w:ilvl="0">
      <w:lvlJc w:val="left"/>
      <w:lvlText w:val="%1"/>
      <w:numFmt w:val="lowerRoman"/>
      <w:start w:val="1"/>
    </w:lvl>
    <w:lvl w:ilvl="1">
      <w:lvlJc w:val="left"/>
      <w:lvlText w:val="(%2)"/>
      <w:numFmt w:val="lowerLetter"/>
      <w:start w:val="9"/>
    </w:lvl>
    <w:lvl w:ilvl="2">
      <w:lvlJc w:val="left"/>
      <w:lvlText w:val="%3"/>
      <w:numFmt w:val="lowerLetter"/>
      <w:start w:val="1"/>
    </w:lvl>
    <w:lvl w:ilvl="3">
      <w:lvlJc w:val="left"/>
      <w:lvlText w:val="%4"/>
      <w:numFmt w:val="lowerRoman"/>
      <w:start w:val="1"/>
    </w:lvl>
    <w:lvl w:ilvl="4">
      <w:lvlJc w:val="left"/>
      <w:lvlText w:val="%5"/>
      <w:numFmt w:val="upperLetter"/>
      <w:start w:val="1"/>
    </w:lvl>
    <w:lvl w:ilvl="5">
      <w:lvlJc w:val="left"/>
      <w:lvlText w:val="%6"/>
      <w:numFmt w:val="upperLetter"/>
      <w:start w:val="1"/>
    </w:lvl>
  </w:abstractNum>
  <w:abstractNum w:abstractNumId="62">
    <w:nsid w:val="71C9129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0"/>
    </w:lvl>
  </w:abstractNum>
  <w:abstractNum w:abstractNumId="63">
    <w:nsid w:val="9DAF632"/>
    <w:multiLevelType w:val="hybridMultilevel"/>
    <w:lvl w:ilvl="0">
      <w:lvlJc w:val="left"/>
      <w:lvlText w:val="%1"/>
      <w:numFmt w:val="lowerLetter"/>
      <w:start w:val="1"/>
    </w:lvl>
    <w:lvl w:ilvl="1">
      <w:lvlJc w:val="left"/>
      <w:lvlText w:val="(%2)"/>
      <w:numFmt w:val="lowerLetter"/>
      <w:start w:val="11"/>
    </w:lvl>
    <w:lvl w:ilvl="2">
      <w:lvlJc w:val="left"/>
      <w:lvlText w:val="%3"/>
      <w:numFmt w:val="lowerLetter"/>
      <w:start w:val="1"/>
    </w:lvl>
  </w:abstractNum>
  <w:abstractNum w:abstractNumId="64">
    <w:nsid w:val="53299938"/>
    <w:multiLevelType w:val="hybridMultilevel"/>
    <w:lvl w:ilvl="0">
      <w:lvlJc w:val="left"/>
      <w:lvlText w:val="(%1)"/>
      <w:numFmt w:val="lowerLetter"/>
      <w:start w:val="12"/>
    </w:lvl>
    <w:lvl w:ilvl="1">
      <w:lvlJc w:val="left"/>
      <w:lvlText w:val="%2"/>
      <w:numFmt w:val="lowerLetter"/>
      <w:start w:val="1"/>
    </w:lvl>
    <w:lvl w:ilvl="2">
      <w:lvlJc w:val="left"/>
      <w:lvlText w:val="%3"/>
      <w:numFmt w:val="lowerLetter"/>
      <w:start w:val="1"/>
    </w:lvl>
  </w:abstractNum>
  <w:abstractNum w:abstractNumId="65">
    <w:nsid w:val="1FBFE8E0"/>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4"/>
    </w:lvl>
  </w:abstractNum>
  <w:abstractNum w:abstractNumId="66">
    <w:nsid w:val="5092CA79"/>
    <w:multiLevelType w:val="hybridMultilevel"/>
    <w:lvl w:ilvl="0">
      <w:lvlJc w:val="left"/>
      <w:lvlText w:val="(%1)"/>
      <w:numFmt w:val="lowerLetter"/>
      <w:start w:val="5"/>
    </w:lvl>
  </w:abstractNum>
  <w:abstractNum w:abstractNumId="67">
    <w:nsid w:val="1D545C4D"/>
    <w:multiLevelType w:val="hybridMultilevel"/>
    <w:lvl w:ilvl="0">
      <w:lvlJc w:val="left"/>
      <w:lvlText w:val="(%1)"/>
      <w:numFmt w:val="lowerLetter"/>
      <w:start w:val="1"/>
    </w:lvl>
  </w:abstractNum>
  <w:abstractNum w:abstractNumId="68">
    <w:nsid w:val="59ADEA3D"/>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4"/>
    </w:lvl>
    <w:lvl w:ilvl="3">
      <w:lvlJc w:val="left"/>
      <w:lvlText w:val="(%4)"/>
      <w:numFmt w:val="lowerRoman"/>
      <w:start w:val="1"/>
    </w:lvl>
  </w:abstractNum>
  <w:abstractNum w:abstractNumId="69">
    <w:nsid w:val="288F1A34"/>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70">
    <w:nsid w:val="2A155DBC"/>
    <w:multiLevelType w:val="hybridMultilevel"/>
    <w:lvl w:ilvl="0">
      <w:lvlJc w:val="left"/>
      <w:lvlText w:val="%1"/>
      <w:numFmt w:val="lowerLetter"/>
      <w:start w:val="1"/>
    </w:lvl>
    <w:lvl w:ilvl="1">
      <w:lvlJc w:val="left"/>
      <w:lvlText w:val="(%2)"/>
      <w:numFmt w:val="lowerLetter"/>
      <w:start w:val="1"/>
    </w:lvl>
  </w:abstractNum>
  <w:abstractNum w:abstractNumId="71">
    <w:nsid w:val="1D9F6E5F"/>
    <w:multiLevelType w:val="hybridMultilevel"/>
    <w:lvl w:ilvl="0">
      <w:lvlJc w:val="left"/>
      <w:lvlText w:val="(%1)"/>
      <w:numFmt w:val="lowerLetter"/>
      <w:start w:val="3"/>
    </w:lvl>
    <w:lvl w:ilvl="1">
      <w:lvlJc w:val="left"/>
      <w:lvlText w:val="%2"/>
      <w:numFmt w:val="lowerLetter"/>
      <w:start w:val="1"/>
    </w:lvl>
  </w:abstractNum>
  <w:abstractNum w:abstractNumId="72">
    <w:nsid w:val="97E1B4E"/>
    <w:multiLevelType w:val="hybridMultilevel"/>
    <w:lvl w:ilvl="0">
      <w:lvlJc w:val="left"/>
      <w:lvlText w:val="(%1)"/>
      <w:numFmt w:val="lowerLetter"/>
      <w:start w:val="1"/>
    </w:lvl>
    <w:lvl w:ilvl="1">
      <w:lvlJc w:val="left"/>
      <w:lvlText w:val="(%2)"/>
      <w:numFmt w:val="lowerLetter"/>
      <w:start w:val="2"/>
    </w:lvl>
  </w:abstractNum>
  <w:abstractNum w:abstractNumId="73">
    <w:nsid w:val="5108827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74">
    <w:nsid w:val="1CA0C5FA"/>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lvl w:ilvl="3">
      <w:lvlJc w:val="left"/>
      <w:lvlText w:val="(%4)"/>
      <w:numFmt w:val="lowerRoman"/>
      <w:start w:val="4"/>
    </w:lvl>
    <w:lvl w:ilvl="4">
      <w:lvlJc w:val="left"/>
      <w:lvlText w:val="(%5)"/>
      <w:numFmt w:val="lowerRoman"/>
      <w:start w:val="1"/>
    </w:lvl>
  </w:abstractNum>
  <w:abstractNum w:abstractNumId="75">
    <w:nsid w:val="53584BC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lowerRoman"/>
      <w:start w:val="5"/>
    </w:lvl>
  </w:abstractNum>
  <w:abstractNum w:abstractNumId="76">
    <w:nsid w:val="415E286C"/>
    <w:multiLevelType w:val="hybridMultilevel"/>
    <w:lvl w:ilvl="0">
      <w:lvlJc w:val="left"/>
      <w:lvlText w:val="(%1)"/>
      <w:numFmt w:val="lowerRoman"/>
      <w:start w:val="6"/>
    </w:lvl>
  </w:abstractNum>
  <w:abstractNum w:abstractNumId="77">
    <w:nsid w:val="7C58FD05"/>
    <w:multiLevelType w:val="hybridMultilevel"/>
    <w:lvl w:ilvl="0">
      <w:lvlJc w:val="left"/>
      <w:lvlText w:val="(%1)"/>
      <w:numFmt w:val="lowerLetter"/>
      <w:start w:val="1"/>
    </w:lvl>
  </w:abstractNum>
  <w:abstractNum w:abstractNumId="78">
    <w:nsid w:val="23D86AAC"/>
    <w:multiLevelType w:val="hybridMultilevel"/>
    <w:lvl w:ilvl="0">
      <w:lvlJc w:val="left"/>
      <w:lvlText w:val="(%1)"/>
      <w:numFmt w:val="lowerLetter"/>
      <w:start w:val="2"/>
    </w:lvl>
  </w:abstractNum>
  <w:abstractNum w:abstractNumId="79">
    <w:nsid w:val="45E6D486"/>
    <w:multiLevelType w:val="hybridMultilevel"/>
    <w:lvl w:ilvl="0">
      <w:lvlJc w:val="left"/>
      <w:lvlText w:val="(%1)"/>
      <w:numFmt w:val="lowerLetter"/>
      <w:start w:val="1"/>
    </w:lvl>
  </w:abstractNum>
  <w:abstractNum w:abstractNumId="80">
    <w:nsid w:val="5C10FE21"/>
    <w:multiLevelType w:val="hybridMultilevel"/>
    <w:lvl w:ilvl="0">
      <w:lvlJc w:val="left"/>
      <w:lvlText w:val="%1"/>
      <w:numFmt w:val="lowerLetter"/>
      <w:start w:val="1"/>
    </w:lvl>
    <w:lvl w:ilvl="1">
      <w:lvlJc w:val="left"/>
      <w:lvlText w:val="(%2)"/>
      <w:numFmt w:val="lowerLetter"/>
      <w:start w:val="2"/>
    </w:lvl>
  </w:abstractNum>
  <w:abstractNum w:abstractNumId="81">
    <w:nsid w:val="E7FFA2B"/>
    <w:multiLevelType w:val="hybridMultilevel"/>
    <w:lvl w:ilvl="0">
      <w:lvlJc w:val="left"/>
      <w:lvlText w:val="(%1)"/>
      <w:numFmt w:val="lowerLetter"/>
      <w:start w:val="3"/>
    </w:lvl>
    <w:lvl w:ilvl="1">
      <w:lvlJc w:val="left"/>
      <w:lvlText w:val="%2"/>
      <w:numFmt w:val="lowerLetter"/>
      <w:start w:val="1"/>
    </w:lvl>
  </w:abstractNum>
  <w:abstractNum w:abstractNumId="82">
    <w:nsid w:val="3C5991AA"/>
    <w:multiLevelType w:val="hybridMultilevel"/>
    <w:lvl w:ilvl="0">
      <w:lvlJc w:val="left"/>
      <w:lvlText w:val="(%1)"/>
      <w:numFmt w:val="lowerLetter"/>
      <w:start w:val="1"/>
    </w:lvl>
  </w:abstractNum>
  <w:abstractNum w:abstractNumId="83">
    <w:nsid w:val="4BD8591A"/>
    <w:multiLevelType w:val="hybridMultilevel"/>
    <w:lvl w:ilvl="0">
      <w:lvlJc w:val="left"/>
      <w:lvlText w:val="(%1)"/>
      <w:numFmt w:val="lowerLetter"/>
      <w:start w:val="1"/>
    </w:lvl>
  </w:abstractNum>
  <w:abstractNum w:abstractNumId="84">
    <w:nsid w:val="78DF6A55"/>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lvl w:ilvl="3">
      <w:lvlJc w:val="left"/>
      <w:lvlText w:val="(%4)"/>
      <w:numFmt w:val="lowerRoman"/>
      <w:start w:val="1"/>
    </w:lvl>
    <w:lvl w:ilvl="4">
      <w:lvlJc w:val="left"/>
      <w:lvlText w:val="(%5)"/>
      <w:numFmt w:val="lowerRoman"/>
      <w:start w:val="1"/>
    </w:lvl>
  </w:abstractNum>
  <w:abstractNum w:abstractNumId="85">
    <w:nsid w:val="39B7AAA2"/>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86">
    <w:nsid w:val="2B0D8DBE"/>
    <w:multiLevelType w:val="hybridMultilevel"/>
    <w:lvl w:ilvl="0">
      <w:lvlJc w:val="left"/>
      <w:lvlText w:val="(%1)"/>
      <w:numFmt w:val="lowerLetter"/>
      <w:start w:val="1"/>
    </w:lvl>
  </w:abstractNum>
  <w:abstractNum w:abstractNumId="87">
    <w:nsid w:val="6C80EC70"/>
    <w:multiLevelType w:val="hybridMultilevel"/>
    <w:lvl w:ilvl="0">
      <w:lvlJc w:val="left"/>
      <w:lvlText w:val="(%1)"/>
      <w:numFmt w:val="lowerLetter"/>
      <w:start w:val="2"/>
    </w:lvl>
  </w:abstractNum>
  <w:abstractNum w:abstractNumId="88">
    <w:nsid w:val="379E21B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2"/>
    </w:lvl>
  </w:abstractNum>
  <w:abstractNum w:abstractNumId="89">
    <w:nsid w:val="69E373"/>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90">
    <w:nsid w:val="2C27173B"/>
    <w:multiLevelType w:val="hybridMultilevel"/>
    <w:lvl w:ilvl="0">
      <w:lvlJc w:val="left"/>
      <w:lvlText w:val="(%1)"/>
      <w:numFmt w:val="lowerLetter"/>
      <w:start w:val="4"/>
    </w:lvl>
    <w:lvl w:ilvl="1">
      <w:lvlJc w:val="left"/>
      <w:lvlText w:val="(%2)"/>
      <w:numFmt w:val="lowerLetter"/>
      <w:start w:val="5"/>
    </w:lvl>
    <w:lvl w:ilvl="2">
      <w:lvlJc w:val="left"/>
      <w:lvlText w:val="(%3)"/>
      <w:numFmt w:val="lowerLetter"/>
      <w:start w:val="5"/>
    </w:lvl>
    <w:lvl w:ilvl="3">
      <w:lvlJc w:val="left"/>
      <w:lvlText w:val="%4"/>
      <w:numFmt w:val="lowerLetter"/>
      <w:start w:val="1"/>
    </w:lvl>
    <w:lvl w:ilvl="4">
      <w:lvlJc w:val="left"/>
      <w:lvlText w:val="%5"/>
      <w:numFmt w:val="lowerLetter"/>
      <w:start w:val="1"/>
    </w:lvl>
  </w:abstractNum>
  <w:abstractNum w:abstractNumId="91">
    <w:nsid w:val="4C9B090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1"/>
    </w:lvl>
    <w:lvl w:ilvl="4">
      <w:lvlJc w:val="left"/>
      <w:lvlText w:val="(%5)"/>
      <w:numFmt w:val="upperLetter"/>
      <w:start w:val="2"/>
    </w:lvl>
  </w:abstractNum>
  <w:abstractNum w:abstractNumId="92">
    <w:nsid w:val="6AA7B75C"/>
    <w:multiLevelType w:val="hybridMultilevel"/>
    <w:lvl w:ilvl="0">
      <w:lvlJc w:val="left"/>
      <w:lvlText w:val="(%1)"/>
      <w:numFmt w:val="lowerLetter"/>
      <w:start w:val="3"/>
    </w:lvl>
    <w:lvl w:ilvl="1">
      <w:lvlJc w:val="left"/>
      <w:lvlText w:val="(%2)"/>
      <w:numFmt w:val="lowerLetter"/>
      <w:start w:val="4"/>
    </w:lvl>
  </w:abstractNum>
  <w:abstractNum w:abstractNumId="93">
    <w:nsid w:val="1DF029D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94">
    <w:nsid w:val="5675FF36"/>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4"/>
    </w:lvl>
  </w:abstractNum>
  <w:abstractNum w:abstractNumId="95">
    <w:nsid w:val="3DD15094"/>
    <w:multiLevelType w:val="hybridMultilevel"/>
    <w:lvl w:ilvl="0">
      <w:lvlJc w:val="left"/>
      <w:lvlText w:val="(%1)"/>
      <w:numFmt w:val="lowerLetter"/>
      <w:start w:val="1"/>
    </w:lvl>
    <w:lvl w:ilvl="1">
      <w:lvlJc w:val="left"/>
      <w:lvlText w:val="(%2)"/>
      <w:numFmt w:val="lowerLetter"/>
      <w:start w:val="2"/>
    </w:lvl>
  </w:abstractNum>
  <w:abstractNum w:abstractNumId="96">
    <w:nsid w:val="3DB012B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97">
    <w:nsid w:val="2708C9AF"/>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4"/>
    </w:lvl>
  </w:abstractNum>
  <w:abstractNum w:abstractNumId="98">
    <w:nsid w:val="5B25ACE2"/>
    <w:multiLevelType w:val="hybridMultilevel"/>
    <w:lvl w:ilvl="0">
      <w:lvlJc w:val="left"/>
      <w:lvlText w:val="(%1)"/>
      <w:numFmt w:val="lowerLetter"/>
      <w:start w:val="1"/>
    </w:lvl>
    <w:lvl w:ilvl="1">
      <w:lvlJc w:val="left"/>
      <w:lvlText w:val="(%2)"/>
      <w:numFmt w:val="lowerLetter"/>
      <w:start w:val="2"/>
    </w:lvl>
  </w:abstractNum>
  <w:abstractNum w:abstractNumId="99">
    <w:nsid w:val="175DFCF0"/>
    <w:multiLevelType w:val="hybridMultilevel"/>
    <w:lvl w:ilvl="0">
      <w:lvlJc w:val="left"/>
      <w:lvlText w:val="(%1)"/>
      <w:numFmt w:val="lowerLetter"/>
      <w:start w:val="3"/>
    </w:lvl>
  </w:abstractNum>
  <w:abstractNum w:abstractNumId="100">
    <w:nsid w:val="4F97E3E4"/>
    <w:multiLevelType w:val="hybridMultilevel"/>
    <w:lvl w:ilvl="0">
      <w:lvlJc w:val="left"/>
      <w:lvlText w:val="%1"/>
      <w:numFmt w:val="lowerLetter"/>
      <w:start w:val="1"/>
    </w:lvl>
    <w:lvl w:ilvl="1">
      <w:lvlJc w:val="left"/>
      <w:lvlText w:val="(%2)"/>
      <w:numFmt w:val="lowerLetter"/>
      <w:start w:val="1"/>
    </w:lvl>
  </w:abstractNum>
  <w:abstractNum w:abstractNumId="101">
    <w:nsid w:val="53B0A9E"/>
    <w:multiLevelType w:val="hybridMultilevel"/>
    <w:lvl w:ilvl="0">
      <w:lvlJc w:val="left"/>
      <w:lvlText w:val="(%1)"/>
      <w:numFmt w:val="lowerLetter"/>
      <w:start w:val="2"/>
    </w:lvl>
    <w:lvl w:ilvl="1">
      <w:lvlJc w:val="left"/>
      <w:lvlText w:val="%2"/>
      <w:numFmt w:val="lowerLetter"/>
      <w:start w:val="1"/>
    </w:lvl>
  </w:abstractNum>
  <w:abstractNum w:abstractNumId="102">
    <w:nsid w:val="34FD6B4F"/>
    <w:multiLevelType w:val="hybridMultilevel"/>
    <w:lvl w:ilvl="0">
      <w:lvlJc w:val="left"/>
      <w:lvlText w:val="(%1)"/>
      <w:numFmt w:val="lowerLetter"/>
      <w:start w:val="1"/>
    </w:lvl>
  </w:abstractNum>
  <w:abstractNum w:abstractNumId="103">
    <w:nsid w:val="5915FF32"/>
    <w:multiLevelType w:val="hybridMultilevel"/>
    <w:lvl w:ilvl="0">
      <w:lvlJc w:val="left"/>
      <w:lvlText w:val="(%1)"/>
      <w:numFmt w:val="lowerLetter"/>
      <w:start w:val="1"/>
    </w:lvl>
  </w:abstractNum>
  <w:abstractNum w:abstractNumId="104">
    <w:nsid w:val="56438D15"/>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105">
    <w:nsid w:val="519E3149"/>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7"/>
    </w:lvl>
    <w:lvl w:ilvl="3">
      <w:lvlJc w:val="left"/>
      <w:lvlText w:val="(%4)"/>
      <w:numFmt w:val="lowerLetter"/>
      <w:start w:val="6"/>
    </w:lvl>
    <w:lvl w:ilvl="4">
      <w:lvlJc w:val="left"/>
      <w:lvlText w:val="(%5)"/>
      <w:numFmt w:val="lowerLetter"/>
      <w:start w:val="5"/>
    </w:lvl>
    <w:lvl w:ilvl="5">
      <w:lvlJc w:val="left"/>
      <w:lvlText w:val="(%6)"/>
      <w:numFmt w:val="lowerLetter"/>
      <w:start w:val="4"/>
    </w:lvl>
  </w:abstractNum>
  <w:abstractNum w:abstractNumId="106">
    <w:nsid w:val="2C6E4AFD"/>
    <w:multiLevelType w:val="hybridMultilevel"/>
    <w:lvl w:ilvl="0">
      <w:lvlJc w:val="left"/>
      <w:lvlText w:val="%1"/>
      <w:numFmt w:val="lowerLetter"/>
      <w:start w:val="1"/>
    </w:lvl>
    <w:lvl w:ilvl="1">
      <w:lvlJc w:val="left"/>
      <w:lvlText w:val="(%2)"/>
      <w:numFmt w:val="lowerLetter"/>
      <w:start w:val="10"/>
    </w:lvl>
    <w:lvl w:ilvl="2">
      <w:lvlJc w:val="left"/>
      <w:lvlText w:val="%3"/>
      <w:numFmt w:val="lowerLetter"/>
      <w:start w:val="1"/>
    </w:lvl>
    <w:lvl w:ilvl="3">
      <w:lvlJc w:val="left"/>
      <w:lvlText w:val="%4"/>
      <w:numFmt w:val="lowerLetter"/>
      <w:start w:val="1"/>
    </w:lvl>
  </w:abstractNum>
  <w:abstractNum w:abstractNumId="107">
    <w:nsid w:val="17A1B582"/>
    <w:multiLevelType w:val="hybridMultilevel"/>
    <w:lvl w:ilvl="0">
      <w:lvlJc w:val="left"/>
      <w:lvlText w:val="(%1)"/>
      <w:numFmt w:val="lowerLetter"/>
      <w:start w:val="12"/>
    </w:lvl>
    <w:lvl w:ilvl="1">
      <w:lvlJc w:val="left"/>
      <w:lvlText w:val="%2"/>
      <w:numFmt w:val="lowerLetter"/>
      <w:start w:val="1"/>
    </w:lvl>
    <w:lvl w:ilvl="2">
      <w:lvlJc w:val="left"/>
      <w:lvlText w:val="(%3)"/>
      <w:numFmt w:val="lowerLetter"/>
      <w:start w:val="13"/>
    </w:lvl>
    <w:lvl w:ilvl="3">
      <w:lvlJc w:val="left"/>
      <w:lvlText w:val="(%4)"/>
      <w:numFmt w:val="lowerLetter"/>
      <w:start w:val="14"/>
    </w:lvl>
  </w:abstractNum>
  <w:abstractNum w:abstractNumId="108">
    <w:nsid w:val="4DF72E4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lowerRoman"/>
      <w:start w:val="1"/>
    </w:lvl>
    <w:lvl w:ilvl="4">
      <w:lvlJc w:val="left"/>
      <w:lvlText w:val="(%5)"/>
      <w:numFmt w:val="upperLetter"/>
      <w:start w:val="1"/>
    </w:lvl>
    <w:lvl w:ilvl="5">
      <w:lvlJc w:val="left"/>
      <w:lvlText w:val="(%6)"/>
      <w:numFmt w:val="upperLetter"/>
      <w:start w:val="2"/>
    </w:lvl>
  </w:abstractNum>
  <w:abstractNum w:abstractNumId="109">
    <w:nsid w:val="5046B5A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10">
    <w:nsid w:val="5D888A08"/>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1"/>
    </w:lvl>
  </w:abstractNum>
  <w:abstractNum w:abstractNumId="111">
    <w:nsid w:val="2A082C70"/>
    <w:multiLevelType w:val="hybridMultilevel"/>
    <w:lvl w:ilvl="0">
      <w:lvlJc w:val="left"/>
      <w:lvlText w:val="%1"/>
      <w:numFmt w:val="lowerLetter"/>
      <w:start w:val="1"/>
    </w:lvl>
    <w:lvl w:ilvl="1">
      <w:lvlJc w:val="left"/>
      <w:lvlText w:val="(%2)"/>
      <w:numFmt w:val="lowerLetter"/>
      <w:start w:val="1"/>
    </w:lvl>
  </w:abstractNum>
  <w:abstractNum w:abstractNumId="112">
    <w:nsid w:val="5EC6AFD4"/>
    <w:multiLevelType w:val="hybridMultilevel"/>
    <w:lvl w:ilvl="0">
      <w:lvlJc w:val="left"/>
      <w:lvlText w:val="(%1)"/>
      <w:numFmt w:val="lowerLetter"/>
      <w:start w:val="2"/>
    </w:lvl>
    <w:lvl w:ilvl="1">
      <w:lvlJc w:val="left"/>
      <w:lvlText w:val="%2"/>
      <w:numFmt w:val="lowerLetter"/>
      <w:start w:val="1"/>
    </w:lvl>
  </w:abstractNum>
  <w:abstractNum w:abstractNumId="113">
    <w:nsid w:val="19E21BB2"/>
    <w:multiLevelType w:val="hybridMultilevel"/>
    <w:lvl w:ilvl="0">
      <w:lvlJc w:val="left"/>
      <w:lvlText w:val="(%1)"/>
      <w:numFmt w:val="decimal"/>
      <w:start w:val="1"/>
    </w:lvl>
    <w:lvl w:ilvl="1">
      <w:lvlJc w:val="left"/>
      <w:lvlText w:val="(%2)"/>
      <w:numFmt w:val="decimal"/>
      <w:start w:val="3"/>
    </w:lvl>
  </w:abstractNum>
  <w:abstractNum w:abstractNumId="114">
    <w:nsid w:val="75E0858A"/>
    <w:multiLevelType w:val="hybridMultilevel"/>
    <w:lvl w:ilvl="0">
      <w:lvlJc w:val="left"/>
      <w:lvlText w:val="(%1)"/>
      <w:numFmt w:val="lowerLetter"/>
      <w:start w:val="1"/>
    </w:lvl>
  </w:abstractNum>
  <w:abstractNum w:abstractNumId="115">
    <w:nsid w:val="57A61A29"/>
    <w:multiLevelType w:val="hybridMultilevel"/>
    <w:lvl w:ilvl="0">
      <w:lvlJc w:val="left"/>
      <w:lvlText w:val="(%1)"/>
      <w:numFmt w:val="lowerLetter"/>
      <w:start w:val="2"/>
    </w:lvl>
    <w:lvl w:ilvl="1">
      <w:lvlJc w:val="left"/>
      <w:lvlText w:val="(%2)"/>
      <w:numFmt w:val="lowerLetter"/>
      <w:start w:val="3"/>
    </w:lvl>
  </w:abstractNum>
  <w:abstractNum w:abstractNumId="116">
    <w:nsid w:val="5399C654"/>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upperLetter"/>
      <w:start w:val="1"/>
    </w:lvl>
    <w:lvl w:ilvl="4">
      <w:lvlJc w:val="left"/>
      <w:lvlText w:val="(%5)"/>
      <w:numFmt w:val="upperLetter"/>
      <w:start w:val="3"/>
    </w:lvl>
  </w:abstractNum>
  <w:abstractNum w:abstractNumId="117">
    <w:nsid w:val="20EE1348"/>
    <w:multiLevelType w:val="hybridMultilevel"/>
    <w:lvl w:ilvl="0">
      <w:lvlJc w:val="left"/>
      <w:lvlText w:val="(%1)"/>
      <w:numFmt w:val="lowerLetter"/>
      <w:start w:val="1"/>
    </w:lvl>
  </w:abstractNum>
  <w:abstractNum w:abstractNumId="118">
    <w:nsid w:val="4427069A"/>
    <w:multiLevelType w:val="hybridMultilevel"/>
    <w:lvl w:ilvl="0">
      <w:lvlJc w:val="left"/>
      <w:lvlText w:val="%1"/>
      <w:numFmt w:val="lowerLetter"/>
      <w:start w:val="1"/>
    </w:lvl>
    <w:lvl w:ilvl="1">
      <w:lvlJc w:val="left"/>
      <w:lvlText w:val="(%2)"/>
      <w:numFmt w:val="lowerLetter"/>
      <w:start w:val="2"/>
    </w:lvl>
  </w:abstractNum>
  <w:abstractNum w:abstractNumId="119">
    <w:nsid w:val="B37E80A"/>
    <w:multiLevelType w:val="hybridMultilevel"/>
    <w:lvl w:ilvl="0">
      <w:lvlJc w:val="left"/>
      <w:lvlText w:val="(%1)"/>
      <w:numFmt w:val="lowerLetter"/>
      <w:start w:val="3"/>
    </w:lvl>
    <w:lvl w:ilvl="1">
      <w:lvlJc w:val="left"/>
      <w:lvlText w:val="%2"/>
      <w:numFmt w:val="lowerLetter"/>
      <w:start w:val="1"/>
    </w:lvl>
  </w:abstractNum>
  <w:abstractNum w:abstractNumId="120">
    <w:nsid w:val="2157F6BC"/>
    <w:multiLevelType w:val="hybridMultilevel"/>
    <w:lvl w:ilvl="0">
      <w:lvlJc w:val="left"/>
      <w:lvlText w:val="(%1)"/>
      <w:numFmt w:val="lowerLetter"/>
      <w:start w:val="1"/>
    </w:lvl>
  </w:abstractNum>
  <w:abstractNum w:abstractNumId="121">
    <w:nsid w:val="704E1DD5"/>
    <w:multiLevelType w:val="hybridMultilevel"/>
    <w:lvl w:ilvl="0">
      <w:lvlJc w:val="left"/>
      <w:lvlText w:val="(%1)"/>
      <w:numFmt w:val="lowerLetter"/>
      <w:start w:val="2"/>
    </w:lvl>
  </w:abstractNum>
  <w:abstractNum w:abstractNumId="122">
    <w:nsid w:val="57D2F10E"/>
    <w:multiLevelType w:val="hybridMultilevel"/>
    <w:lvl w:ilvl="0">
      <w:lvlJc w:val="left"/>
      <w:lvlText w:val="(%1)"/>
      <w:numFmt w:val="lowerLetter"/>
      <w:start w:val="1"/>
    </w:lvl>
    <w:lvl w:ilvl="1">
      <w:lvlJc w:val="left"/>
      <w:lvlText w:val="(%2)"/>
      <w:numFmt w:val="lowerLetter"/>
      <w:start w:val="2"/>
    </w:lvl>
  </w:abstractNum>
  <w:abstractNum w:abstractNumId="123">
    <w:nsid w:val="BFFAE1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124">
    <w:nsid w:val="E3E47A8"/>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125">
    <w:nsid w:val="2E48F044"/>
    <w:multiLevelType w:val="hybridMultilevel"/>
    <w:lvl w:ilvl="0">
      <w:lvlJc w:val="left"/>
      <w:lvlText w:val="(%1)"/>
      <w:numFmt w:val="lowerLetter"/>
      <w:start w:val="5"/>
    </w:lvl>
    <w:lvl w:ilvl="1">
      <w:lvlJc w:val="left"/>
      <w:lvlText w:val="(%2)"/>
      <w:numFmt w:val="lowerLetter"/>
      <w:start w:val="6"/>
    </w:lvl>
    <w:lvl w:ilvl="2">
      <w:lvlJc w:val="left"/>
      <w:lvlText w:val="%3"/>
      <w:numFmt w:val="lowerLetter"/>
      <w:start w:val="1"/>
    </w:lvl>
  </w:abstractNum>
  <w:abstractNum w:abstractNumId="126">
    <w:nsid w:val="49D0FEAC"/>
    <w:multiLevelType w:val="hybridMultilevel"/>
    <w:lvl w:ilvl="0">
      <w:lvlJc w:val="left"/>
      <w:lvlText w:val="(%1)"/>
      <w:numFmt w:val="lowerLetter"/>
      <w:start w:val="7"/>
    </w:lvl>
    <w:lvl w:ilvl="1">
      <w:lvlJc w:val="left"/>
      <w:lvlText w:val="(%2)"/>
      <w:numFmt w:val="lowerLetter"/>
      <w:start w:val="9"/>
    </w:lvl>
  </w:abstractNum>
  <w:abstractNum w:abstractNumId="127">
    <w:nsid w:val="4BEE5A5B"/>
    <w:multiLevelType w:val="hybridMultilevel"/>
    <w:lvl w:ilvl="0">
      <w:lvlJc w:val="left"/>
      <w:lvlText w:val="(%1)"/>
      <w:numFmt w:val="lowerLetter"/>
      <w:start w:val="11"/>
    </w:lvl>
  </w:abstractNum>
  <w:abstractNum w:abstractNumId="128">
    <w:nsid w:val="5551B9F3"/>
    <w:multiLevelType w:val="hybridMultilevel"/>
    <w:lvl w:ilvl="0">
      <w:lvlJc w:val="left"/>
      <w:lvlText w:val="%1"/>
      <w:numFmt w:val="lowerLetter"/>
      <w:start w:val="1"/>
    </w:lvl>
    <w:lvl w:ilvl="1">
      <w:lvlJc w:val="left"/>
      <w:lvlText w:val="(%2)"/>
      <w:numFmt w:val="lowerLetter"/>
      <w:start w:val="14"/>
    </w:lvl>
    <w:lvl w:ilvl="2">
      <w:lvlJc w:val="left"/>
      <w:lvlText w:val="%3"/>
      <w:numFmt w:val="lowerLetter"/>
      <w:start w:val="1"/>
    </w:lvl>
  </w:abstractNum>
  <w:abstractNum w:abstractNumId="129">
    <w:nsid w:val="24F6AB8E"/>
    <w:multiLevelType w:val="hybridMultilevel"/>
    <w:lvl w:ilvl="0">
      <w:lvlJc w:val="left"/>
      <w:lvlText w:val="(%1)"/>
      <w:numFmt w:val="lowerLetter"/>
      <w:start w:val="15"/>
    </w:lvl>
    <w:lvl w:ilvl="1">
      <w:lvlJc w:val="left"/>
      <w:lvlText w:val="%2"/>
      <w:numFmt w:val="lowerLetter"/>
      <w:start w:val="1"/>
    </w:lvl>
    <w:lvl w:ilvl="2">
      <w:lvlJc w:val="left"/>
      <w:lvlText w:val="(%3)"/>
      <w:numFmt w:val="lowerLetter"/>
      <w:start w:val="16"/>
    </w:lvl>
  </w:abstractNum>
  <w:abstractNum w:abstractNumId="130">
    <w:nsid w:val="634C574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131">
    <w:nsid w:val="24E99DD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Roman"/>
      <w:start w:val="3"/>
    </w:lvl>
  </w:abstractNum>
  <w:abstractNum w:abstractNumId="132">
    <w:nsid w:val="2A31B62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4"/>
    </w:lvl>
    <w:lvl w:ilvl="4">
      <w:lvlJc w:val="left"/>
      <w:lvlText w:val="%5"/>
      <w:numFmt w:val="lowerRoman"/>
      <w:start w:val="1"/>
    </w:lvl>
  </w:abstractNum>
  <w:abstractNum w:abstractNumId="133">
    <w:nsid w:val="1849C29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134">
    <w:nsid w:val="7DFF9D09"/>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4"/>
    </w:lvl>
    <w:lvl w:ilvl="3">
      <w:lvlJc w:val="left"/>
      <w:lvlText w:val="%4"/>
      <w:numFmt w:val="lowerRoman"/>
      <w:start w:val="1"/>
    </w:lvl>
    <w:lvl w:ilvl="4">
      <w:lvlJc w:val="left"/>
      <w:lvlText w:val="%5"/>
      <w:numFmt w:val="lowerRoman"/>
      <w:start w:val="1"/>
    </w:lvl>
  </w:abstractNum>
  <w:abstractNum w:abstractNumId="135">
    <w:nsid w:val="754342"/>
    <w:multiLevelType w:val="hybridMultilevel"/>
    <w:lvl w:ilvl="0">
      <w:lvlJc w:val="left"/>
      <w:lvlText w:val="(%1)"/>
      <w:numFmt w:val="lowerLetter"/>
      <w:start w:val="5"/>
    </w:lvl>
  </w:abstractNum>
  <w:abstractNum w:abstractNumId="136">
    <w:nsid w:val="69E7F3E5"/>
    <w:multiLevelType w:val="hybridMultilevel"/>
    <w:lvl w:ilvl="0">
      <w:lvlJc w:val="left"/>
      <w:lvlText w:val="(%1)"/>
      <w:numFmt w:val="lowerLetter"/>
      <w:start w:val="1"/>
    </w:lvl>
    <w:lvl w:ilvl="1">
      <w:lvlJc w:val="left"/>
      <w:lvlText w:val="(%2)"/>
      <w:numFmt w:val="lowerLetter"/>
      <w:start w:val="2"/>
    </w:lvl>
  </w:abstractNum>
  <w:abstractNum w:abstractNumId="137">
    <w:nsid w:val="2A6DE806"/>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4"/>
    </w:lvl>
    <w:lvl w:ilvl="3">
      <w:lvlJc w:val="left"/>
      <w:lvlText w:val="(%4)"/>
      <w:numFmt w:val="lowerLetter"/>
      <w:start w:val="6"/>
    </w:lvl>
  </w:abstractNum>
  <w:abstractNum w:abstractNumId="138">
    <w:nsid w:val="1816F8C4"/>
    <w:multiLevelType w:val="hybridMultilevel"/>
    <w:lvl w:ilvl="0">
      <w:lvlJc w:val="left"/>
      <w:lvlText w:val="%1"/>
      <w:numFmt w:val="lowerLetter"/>
      <w:start w:val="1"/>
    </w:lvl>
    <w:lvl w:ilvl="1">
      <w:lvlJc w:val="left"/>
      <w:lvlText w:val="(%2)"/>
      <w:numFmt w:val="lowerLetter"/>
      <w:start w:val="1"/>
    </w:lvl>
  </w:abstractNum>
  <w:abstractNum w:abstractNumId="139">
    <w:nsid w:val="37DF2233"/>
    <w:multiLevelType w:val="hybridMultilevel"/>
    <w:lvl w:ilvl="0">
      <w:lvlJc w:val="left"/>
      <w:lvlText w:val="(%1)"/>
      <w:numFmt w:val="lowerLetter"/>
      <w:start w:val="2"/>
    </w:lvl>
    <w:lvl w:ilvl="1">
      <w:lvlJc w:val="left"/>
      <w:lvlText w:val="%2"/>
      <w:numFmt w:val="lowerLetter"/>
      <w:start w:val="1"/>
    </w:lvl>
  </w:abstractNum>
  <w:abstractNum w:abstractNumId="140">
    <w:nsid w:val="7AB49DAF"/>
    <w:multiLevelType w:val="hybridMultilevel"/>
    <w:lvl w:ilvl="0">
      <w:lvlJc w:val="left"/>
      <w:lvlText w:val="(%1)"/>
      <w:numFmt w:val="lowerLetter"/>
      <w:start w:val="1"/>
    </w:lvl>
  </w:abstractNum>
  <w:abstractNum w:abstractNumId="141">
    <w:nsid w:val="759F82CD"/>
    <w:multiLevelType w:val="hybridMultilevel"/>
    <w:lvl w:ilvl="0">
      <w:lvlJc w:val="left"/>
      <w:lvlText w:val="%1"/>
      <w:numFmt w:val="lowerLetter"/>
      <w:start w:val="1"/>
    </w:lvl>
    <w:lvl w:ilvl="1">
      <w:lvlJc w:val="left"/>
      <w:lvlText w:val="(%2)"/>
      <w:numFmt w:val="lowerLetter"/>
      <w:start w:val="2"/>
    </w:lvl>
  </w:abstractNum>
  <w:abstractNum w:abstractNumId="142">
    <w:nsid w:val="61E74EA3"/>
    <w:multiLevelType w:val="hybridMultilevel"/>
    <w:lvl w:ilvl="0">
      <w:lvlJc w:val="left"/>
      <w:lvlText w:val="(%1)"/>
      <w:numFmt w:val="lowerLetter"/>
      <w:start w:val="3"/>
    </w:lvl>
    <w:lvl w:ilvl="1">
      <w:lvlJc w:val="left"/>
      <w:lvlText w:val="%2"/>
      <w:numFmt w:val="lowerLetter"/>
      <w:start w:val="1"/>
    </w:lvl>
  </w:abstractNum>
  <w:abstractNum w:abstractNumId="143">
    <w:nsid w:val="597B4D8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144">
    <w:nsid w:val="F819E7F"/>
    <w:multiLevelType w:val="hybridMultilevel"/>
    <w:lvl w:ilvl="0">
      <w:lvlJc w:val="left"/>
      <w:lvlText w:val="%1."/>
      <w:numFmt w:val="decimal"/>
      <w:start w:val="2"/>
    </w:lvl>
    <w:lvl w:ilvl="1">
      <w:lvlJc w:val="left"/>
      <w:lvlText w:val="%2."/>
      <w:numFmt w:val="decimal"/>
      <w:start w:val="3"/>
    </w:lvl>
    <w:lvl w:ilvl="2">
      <w:lvlJc w:val="left"/>
      <w:lvlText w:val="%3"/>
      <w:numFmt w:val="decimal"/>
      <w:start w:val="1"/>
    </w:lvl>
    <w:lvl w:ilvl="3">
      <w:lvlJc w:val="left"/>
      <w:lvlText w:val="%4."/>
      <w:numFmt w:val="decimal"/>
      <w:start w:val="3"/>
    </w:lvl>
  </w:abstractNum>
  <w:abstractNum w:abstractNumId="145">
    <w:nsid w:val="57C7D42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2019-12-10T02:45:43Z</dcterms:created>
  <dcterms:modified xsi:type="dcterms:W3CDTF">2019-12-10T02:45:43Z</dcterms:modified>
</cp:coreProperties>
</file>