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3820" w:right="1600" w:hanging="3812"/>
        <w:spacing w:after="0" w:line="33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04"/>
        </w:trPr>
        <w:tc>
          <w:tcPr>
            <w:tcW w:w="35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001-13619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780" w:type="dxa"/>
        <w:tblCellMar>
          <w:top w:w="0" w:type="dxa"/>
          <w:left w:w="0" w:type="dxa"/>
          <w:bottom w:w="0" w:type="dxa"/>
          <w:right w:w="0" w:type="dxa"/>
        </w:tblCellMar>
      </w:tblPr>
      <w:tr>
        <w:trPr>
          <w:trHeight w:val="529"/>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43"/>
                <w:szCs w:val="43"/>
                <w:b w:val="1"/>
                <w:bCs w:val="1"/>
                <w:color w:val="auto"/>
              </w:rPr>
              <w:t>BROWN &amp; BROWN, INC.</w:t>
            </w:r>
          </w:p>
        </w:tc>
        <w:tc>
          <w:tcPr>
            <w:tcW w:w="1640" w:type="dxa"/>
            <w:vAlign w:val="bottom"/>
          </w:tcPr>
          <w:p>
            <w:pPr>
              <w:spacing w:after="0"/>
              <w:rPr>
                <w:sz w:val="24"/>
                <w:szCs w:val="24"/>
                <w:color w:val="auto"/>
              </w:rPr>
            </w:pPr>
          </w:p>
        </w:tc>
      </w:tr>
      <w:tr>
        <w:trPr>
          <w:trHeight w:val="238"/>
        </w:trPr>
        <w:tc>
          <w:tcPr>
            <w:tcW w:w="76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640" w:type="dxa"/>
            <w:vAlign w:val="bottom"/>
          </w:tcPr>
          <w:p>
            <w:pPr>
              <w:spacing w:after="0"/>
              <w:rPr>
                <w:sz w:val="20"/>
                <w:szCs w:val="20"/>
                <w:color w:val="auto"/>
              </w:rPr>
            </w:pPr>
          </w:p>
        </w:tc>
      </w:tr>
      <w:tr>
        <w:trPr>
          <w:trHeight w:val="94"/>
        </w:trPr>
        <w:tc>
          <w:tcPr>
            <w:tcW w:w="37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333"/>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9"/>
        </w:trPr>
        <w:tc>
          <w:tcPr>
            <w:tcW w:w="7640" w:type="dxa"/>
            <w:vAlign w:val="bottom"/>
            <w:gridSpan w:val="3"/>
          </w:tcPr>
          <w:p>
            <w:pPr>
              <w:jc w:val="center"/>
              <w:ind w:right="52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7640" w:type="dxa"/>
            <w:vAlign w:val="bottom"/>
            <w:gridSpan w:val="3"/>
          </w:tcPr>
          <w:p>
            <w:pPr>
              <w:jc w:val="center"/>
              <w:ind w:right="524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jc w:val="center"/>
              <w:ind w:left="1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1640" w:type="dxa"/>
            <w:vAlign w:val="bottom"/>
          </w:tcPr>
          <w:p>
            <w:pPr>
              <w:spacing w:after="0"/>
              <w:rPr>
                <w:sz w:val="18"/>
                <w:szCs w:val="18"/>
                <w:color w:val="auto"/>
              </w:rPr>
            </w:pPr>
          </w:p>
        </w:tc>
      </w:tr>
      <w:tr>
        <w:trPr>
          <w:trHeight w:val="238"/>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Daytona Beach, FL</w:t>
            </w:r>
          </w:p>
        </w:tc>
        <w:tc>
          <w:tcPr>
            <w:tcW w:w="16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233"/>
        </w:trPr>
        <w:tc>
          <w:tcPr>
            <w:tcW w:w="7640" w:type="dxa"/>
            <w:vAlign w:val="bottom"/>
            <w:gridSpan w:val="3"/>
          </w:tcPr>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-676910</wp:posOffset>
            </wp:positionV>
            <wp:extent cx="177419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4190" cy="24003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5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3"/>
        </w:trPr>
        <w:tc>
          <w:tcPr>
            <w:tcW w:w="50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w:t>
            </w:r>
          </w:p>
        </w:tc>
        <w:tc>
          <w:tcPr>
            <w:tcW w:w="2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BRO</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6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36" w:lineRule="exact"/>
        <w:rPr>
          <w:sz w:val="24"/>
          <w:szCs w:val="24"/>
          <w:color w:val="auto"/>
        </w:rPr>
      </w:pPr>
    </w:p>
    <w:p>
      <w:pPr>
        <w:jc w:val="both"/>
        <w:ind w:right="2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49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300" w:firstLine="4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0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$0.10 par value, outstanding as of April 24, 2026 was 338,947,841.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563C1"/>
                <w:w w:val="99"/>
              </w:rPr>
              <w:t>PART I. FINANCIAL INFORMATION</w:t>
            </w:r>
          </w:p>
        </w:tc>
        <w:tc>
          <w:tcPr>
            <w:tcW w:w="6980" w:type="dxa"/>
            <w:vAlign w:val="bottom"/>
            <w:gridSpan w:val="10"/>
            <w:vMerge w:val="restart"/>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4"/>
                <w:szCs w:val="14"/>
                <w:color w:val="auto"/>
              </w:rPr>
            </w:pPr>
          </w:p>
        </w:tc>
        <w:tc>
          <w:tcPr>
            <w:tcW w:w="3100" w:type="dxa"/>
            <w:vAlign w:val="bottom"/>
            <w:tcBorders>
              <w:bottom w:val="single" w:sz="8" w:color="0563C1"/>
            </w:tcBorders>
            <w:gridSpan w:val="8"/>
            <w:vMerge w:val="continue"/>
          </w:tcPr>
          <w:p>
            <w:pPr>
              <w:spacing w:after="0"/>
              <w:rPr>
                <w:sz w:val="14"/>
                <w:szCs w:val="14"/>
                <w:color w:val="auto"/>
              </w:rPr>
            </w:pPr>
          </w:p>
        </w:tc>
        <w:tc>
          <w:tcPr>
            <w:tcW w:w="6980" w:type="dxa"/>
            <w:vAlign w:val="bottom"/>
            <w:gridSpan w:val="10"/>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w w:val="97"/>
              </w:rPr>
              <w:t>Financial Statements (Unaudited):</w:t>
            </w:r>
          </w:p>
        </w:tc>
        <w:tc>
          <w:tcPr>
            <w:tcW w:w="648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Income for the three months ended March 31, 2026 and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9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Comprehensive Income for the three months ended March 31, 2026 and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20" w:type="dxa"/>
            <w:vAlign w:val="bottom"/>
            <w:tcBorders>
              <w:top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 as of March 31, 2026 and December 31, 2025</w:t>
            </w:r>
          </w:p>
        </w:tc>
        <w:tc>
          <w:tcPr>
            <w:tcW w:w="5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90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Equity for the three months ended March 31, 2026 and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gridSpan w:val="2"/>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560" w:type="dxa"/>
            <w:vAlign w:val="bottom"/>
            <w:tcBorders>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Cash Flows for the three months ended March 31, 2026 and 2025</w:t>
            </w:r>
          </w:p>
        </w:tc>
        <w:tc>
          <w:tcPr>
            <w:tcW w:w="136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6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8"/>
              </w:rPr>
              <w:t>Notes to Condensed Consolidated Financial Statements</w:t>
            </w:r>
          </w:p>
        </w:tc>
        <w:tc>
          <w:tcPr>
            <w:tcW w:w="496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48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58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7"/>
              </w:rPr>
              <w:t>Controls and Procedures</w:t>
            </w:r>
          </w:p>
        </w:tc>
        <w:tc>
          <w:tcPr>
            <w:tcW w:w="718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280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b w:val="1"/>
                <w:bCs w:val="1"/>
                <w:color w:val="0563C1"/>
                <w:w w:val="99"/>
              </w:rPr>
              <w:t>PART II. OTHER INFORMATION</w:t>
            </w:r>
          </w:p>
        </w:tc>
        <w:tc>
          <w:tcPr>
            <w:tcW w:w="728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563C1"/>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4"/>
              </w:rPr>
              <w:t>Risk Factors</w:t>
            </w:r>
          </w:p>
        </w:tc>
        <w:tc>
          <w:tcPr>
            <w:tcW w:w="420" w:type="dxa"/>
            <w:vAlign w:val="bottom"/>
            <w:tcBorders>
              <w:top w:val="single" w:sz="8" w:color="0563C1"/>
            </w:tcBorders>
            <w:gridSpan w:val="2"/>
          </w:tcPr>
          <w:p>
            <w:pPr>
              <w:spacing w:after="0"/>
              <w:rPr>
                <w:sz w:val="17"/>
                <w:szCs w:val="17"/>
                <w:color w:val="auto"/>
              </w:rPr>
            </w:pPr>
          </w:p>
        </w:tc>
        <w:tc>
          <w:tcPr>
            <w:tcW w:w="762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8"/>
              </w:rPr>
              <w:t>Unregistered Sales of Equity Securities and Use of Proceeds</w:t>
            </w:r>
          </w:p>
        </w:tc>
        <w:tc>
          <w:tcPr>
            <w:tcW w:w="460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64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3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563C1"/>
              </w:rPr>
              <w:t>SIGNATURES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160" w:type="dxa"/>
            <w:vAlign w:val="bottom"/>
            <w:tcBorders>
              <w:top w:val="single" w:sz="8" w:color="0563C1"/>
            </w:tcBorders>
          </w:tcPr>
          <w:p>
            <w:pPr>
              <w:spacing w:after="0"/>
              <w:rPr>
                <w:sz w:val="24"/>
                <w:szCs w:val="24"/>
                <w:color w:val="auto"/>
              </w:rPr>
            </w:pPr>
          </w:p>
        </w:tc>
        <w:tc>
          <w:tcPr>
            <w:tcW w:w="6240" w:type="dxa"/>
            <w:vAlign w:val="bottom"/>
            <w:gridSpan w:val="12"/>
          </w:tcPr>
          <w:p>
            <w:pPr>
              <w:jc w:val="right"/>
              <w:ind w:right="18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31"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9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the acquisition of RSC Topco, Inc. (“RSC” or “Accession”) (the “Transaction”);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including any anticipated costs savings and strategies, of the Transaction are not realized when expected or at all;</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financing of the Transaction, including that financing the Transaction resulted in an increase in the Company’s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financial information related to Accession;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assumptions the Company has made relating to the Transaction prove to be materially inaccurate;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Accession’s business, including underwriting risk in connection with certain captive insurance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retain and develop qualified employees, as well as the loss of any of our executive officers or other key employees;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attack or any other interruption in information technology and/or data security that may impact our operations or the operations of third parties that support us;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which may result in additional risks or require more management time and expense than our domestic operations to achieve or maintain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additional resources and time to adequately respond to dynamics resulting from rapid technological change, including the increasing use of artificial intelligence and robotic processing automation;</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 to any of our insurance company or intermediary relationships, which could result in loss of capacity to write business, additional expense, loss of market share or material decrease in our commissions;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natural disasters on our profit-sharing contingent commissions (“Contingents”), insurer capacity or claims expenses within our capitalized captive insurance facilities;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political conditions, outbreaks of war, disasters, or regulatory changes in states or countries where we have a concentration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culture or a significant change in management, management philosophy or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commission revenue as a result of factors outside of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significant or sustained inflation or higher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 resulting from the limited underwriting risk associated with our participation in captive insurance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automobile and recreational vehicle finance and incentives dealer services (“F&amp;I”)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termination of, certain programs administered by the U.S. federal government from which we derive revenues;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of our system of disclosure and internal controls and procedures in preventing errors or fraud, or in informing management of all material information in a timely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vendors and other third parties to perform key functions of our business operations and provide services to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control certain shareholders have;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data privacy and protection laws and regulations or any failure to comply with such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confidential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non-U.S. laws, regulations and policies;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certain actual or potential claims, regulatory actions or proceedings on our businesses, results of operations, financial condition or liquidity;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business practices and compensation arrangements with insurance carriers due to potential changes in regulations;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laws or competing expectations from regulators, investors and customers with respect to our environmental, social and governance practices and disclosure;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liability insurance as a result of tort reform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covenants contained in our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covenants in our debt agreements could prevent us from engaging in certain potentially beneficial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to our corporate credit rating, the credit ratings of our outstanding debt or other market speculation;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other dilution of our equity could adversely affect the market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U.S.-based credit markets that might adversely affect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U.S. or global economic conditions, including an extended slowdown in the markets in which we operate;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result in reduced insurer capacity;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annual variations in our commissions that result from the timing of policy renewals and the net effect of new and lost business production;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risk, including the possibility that our goodwill may become impaired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accounting estimates and assumptions;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Securities and Exchange Commission (“SEC”) filings;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Company may not have currently identified or quantified.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Commissions and fees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(Gain)/loss on disposal</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7"/>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-2725420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-1345565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-488315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(loss)/gain</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24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cash</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receivables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Reinsurance recoverable</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15,076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15,087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29,991</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719</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8,316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8,294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$0.10 per share; authorized 560 shares; issued 359 shares and outstanding</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335 shares at 2026, issued 357</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and outstanding 336 shares at 2025, respectively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 24 shares at 2026 and 21 shares at 2025, respectively</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7,358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6,989</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12,613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12,573</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29,991</w:t>
            </w: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-4345305</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-3514090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ed 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Controllin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 Interest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336</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6,160</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(848)</w:t>
            </w:r>
          </w:p>
        </w:tc>
        <w:tc>
          <w:tcPr>
            <w:tcW w:w="18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6,989</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12,573</w:t>
            </w:r>
          </w:p>
        </w:tc>
        <w:tc>
          <w:tcPr>
            <w:tcW w:w="0" w:type="dxa"/>
            <w:vAlign w:val="bottom"/>
          </w:tcPr>
          <w:p>
            <w:pPr>
              <w:spacing w:after="0"/>
              <w:rPr>
                <w:sz w:val="1"/>
                <w:szCs w:val="1"/>
                <w:color w:val="auto"/>
              </w:rPr>
            </w:pPr>
          </w:p>
        </w:tc>
      </w:tr>
      <w:tr>
        <w:trPr>
          <w:trHeight w:val="155"/>
        </w:trPr>
        <w:tc>
          <w:tcPr>
            <w:tcW w:w="370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426</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37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9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non-controlling interest acquired (disposed)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6"/>
        </w:trPr>
        <w:tc>
          <w:tcPr>
            <w:tcW w:w="37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 shares to fund tax withholdings for non-cash</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dividends paid ($0.165 per share)</w:t>
            </w:r>
          </w:p>
        </w:tc>
        <w:tc>
          <w:tcPr>
            <w:tcW w:w="9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560" w:type="dxa"/>
            <w:vAlign w:val="bottom"/>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6,165</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(1,098)</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32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7,358</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12,613</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286</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1,118</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18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6,128</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6,437</w:t>
            </w:r>
          </w:p>
        </w:tc>
        <w:tc>
          <w:tcPr>
            <w:tcW w:w="0" w:type="dxa"/>
            <w:vAlign w:val="bottom"/>
          </w:tcPr>
          <w:p>
            <w:pPr>
              <w:spacing w:after="0"/>
              <w:rPr>
                <w:sz w:val="1"/>
                <w:szCs w:val="1"/>
                <w:color w:val="auto"/>
              </w:rPr>
            </w:pPr>
          </w:p>
        </w:tc>
      </w:tr>
      <w:tr>
        <w:trPr>
          <w:trHeight w:val="155"/>
        </w:trPr>
        <w:tc>
          <w:tcPr>
            <w:tcW w:w="3700" w:type="dxa"/>
            <w:vAlign w:val="bottom"/>
            <w:tcBorders>
              <w:top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331</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9"/>
        </w:trPr>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7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 incentive plans</w:t>
            </w:r>
          </w:p>
        </w:tc>
        <w:tc>
          <w:tcPr>
            <w:tcW w:w="9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26"/>
        </w:trPr>
        <w:tc>
          <w:tcPr>
            <w:tcW w:w="37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Repurchase shares to fund tax withholdings for non-cash</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($0.15 per share)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287</w:t>
            </w:r>
          </w:p>
        </w:tc>
        <w:tc>
          <w:tcPr>
            <w:tcW w:w="56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1,107</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(748)</w:t>
            </w:r>
          </w:p>
        </w:tc>
        <w:tc>
          <w:tcPr>
            <w:tcW w:w="18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6,416</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6,841</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-2262505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-2262505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-2262505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-2262505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-2262505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-2262505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-2262505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-1199515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-1199515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-1199515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-1199515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-1199515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-1199515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-890905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-890905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-890905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-890905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-890905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-890905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-890905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198"/>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millions)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Net income before non-controlling interests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181"/>
        </w:trPr>
        <w:tc>
          <w:tcPr>
            <w:tcW w:w="77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before non-controlling interests to net cash provided by operating</w:t>
            </w: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activities: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30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 in estimated acquisition earn-out payables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Mark-to-market of escrow liability</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(gain)/loss on sales/disposals of investments, businesses, fixed assets and customer accounts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acquisition earn-outs in excess of original estimated payables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 from acquisitions and divestitures: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Commissions, fees and other receivables (increase) decrease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Reinsurance recoverable (increase) decrease</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reinsurance premiums (increase) decrease</w:t>
            </w:r>
          </w:p>
        </w:tc>
        <w:tc>
          <w:tcPr>
            <w:tcW w:w="30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assets (increase) decrease</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Losses and loss adjustment reserve increase (decrease)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Unearned premiums increase (decrease)</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2"/>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 increase (decrease)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other liabilities increase (decrease)</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liabilities increase (decrease)</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262</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Additions to fixed assets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businesses acquired, net of cash acquired</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sales of businesses, fixed assets and customer accounts</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Fiduciary receivables and liabilities, net</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Payments on acquisition earn-outs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long-term debt</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Borrowings on revolving credit facility</w:t>
            </w:r>
          </w:p>
        </w:tc>
        <w:tc>
          <w:tcPr>
            <w:tcW w:w="30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Repurchase shares to fund tax withholdings for non-cash stock-based compensation</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dividends paid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74"/>
        </w:trPr>
        <w:tc>
          <w:tcPr>
            <w:tcW w:w="778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 inclusive of fiduciary</w:t>
            </w: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1"/>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 inclusive of fiduciary cash</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inclusive of fiduciary cash at beginning of period</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3,815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2,502</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inclusive of fiduciary cash at end of period</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3,658</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2,440</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-2776855</wp:posOffset>
            </wp:positionV>
            <wp:extent cx="111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-685165</wp:posOffset>
            </wp:positionV>
            <wp:extent cx="111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See accompanying Notes to Condensed Consolidated Financial Statements. Refer to Note 10 for the reconciliations of cash, cash equivalents and restricted cash inclusive of fiduciary cash.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21"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two reportable segments. The Retail segment provides a broad range of risk management products and services to commercial, public and quasi-public entities, and to professional and individual customers. These products and services include property and casualty insurance and reinsurance, employee benefits, private client services, captive solutions, consulting services and financial and wealth solutions, as well as non-insurance warranty services and products through the Retail segment’s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 underwrites and places excess and surplus commercial and personal lines insurance, typically for specialized or hard-to-place types of risks, primarily through a global network of independent agents and brokers, including Brown &amp; Brown retail agents. The specialty business offers solutions across affinity and administrative services, captives, reinsurance, travel/accident, warranty, and life &amp; health.</w:t>
      </w:r>
    </w:p>
    <w:p>
      <w:pPr>
        <w:spacing w:after="0" w:line="88"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These ancillary insurance operations facilitate additional underwriting capacity, generate incremental revenues and/or enable the Company to participate in certain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spacing w:after="0" w:line="84" w:lineRule="exact"/>
        <w:rPr>
          <w:sz w:val="20"/>
          <w:szCs w:val="20"/>
          <w:color w:val="auto"/>
        </w:rPr>
      </w:pPr>
    </w:p>
    <w:p>
      <w:pPr>
        <w:ind w:right="200" w:firstLine="494"/>
        <w:spacing w:after="0" w:line="254" w:lineRule="auto"/>
        <w:rPr>
          <w:sz w:val="20"/>
          <w:szCs w:val="20"/>
          <w:color w:val="auto"/>
        </w:rPr>
      </w:pPr>
      <w:r>
        <w:rPr>
          <w:rFonts w:ascii="Times New Roman" w:cs="Times New Roman" w:eastAsia="Times New Roman" w:hAnsi="Times New Roman"/>
          <w:sz w:val="18"/>
          <w:szCs w:val="18"/>
          <w:color w:val="auto"/>
        </w:rPr>
        <w:t>In conjunction with the acquisition of RSC, the holding company for Accession Risk Management Group, Inc., in the third quarter of 2025, the Company realigned its business from three to two segments. As a result of the segment reorganization, the Company consolidated its Programs and Wholesale Brokerage segments into a new Specialty Distribution segment. The Company now reports its financial results in the following two reportable segments: Retail and Specialty Distribution.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equity resulting from these changes. See Note 12 of these Notes to Condensed Consolidated Financial Statements for further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Financial Reporting</w:t>
      </w:r>
    </w:p>
    <w:p>
      <w:pPr>
        <w:spacing w:after="0" w:line="121"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2025.</w:t>
      </w:r>
    </w:p>
    <w:p>
      <w:pPr>
        <w:spacing w:after="0" w:line="7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recognized at fair value on a recurring basis into a three-level fair value hierarchy. Fair value accounting establishes a framework for measuring fair value, which is defined as the price that would be received to sell an asset or paid to transfer a liability in an orderly transaction between market participants at the measurement date (i.e., an exit price). The framework includes a fair value hierarchy that prioritizes the inputs to the valuation technique used to measure fair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220" w:firstLine="539"/>
        <w:spacing w:after="0" w:line="266"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 in its entirety. The three levels of the hierarchy in order of priority of inputs to the valuation technique are defined as follows:</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for identical assets in active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for identical assets in active markets, that are observable either directly or indirectly;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there is little or no market data which requires the use of valuation techniques and the development of assumptions.</w:t>
      </w:r>
    </w:p>
    <w:p>
      <w:pPr>
        <w:spacing w:after="0" w:line="54" w:lineRule="exact"/>
        <w:rPr>
          <w:sz w:val="20"/>
          <w:szCs w:val="20"/>
          <w:color w:val="auto"/>
        </w:rPr>
      </w:pPr>
    </w:p>
    <w:p>
      <w:pPr>
        <w:ind w:right="240" w:firstLine="494"/>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fiduciary cash; fiduciary receivables, commissions, fees and other receivables; fiduciary liabilities; accounts payable and accrued expenses and other liabilities, at March 31, 2026, and December 31, 2025, approximate fair value, because of the short-term maturity of these instruments. Acquisition earnout payables and newly acquired intangible assets are measured at fair value using level 3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"Interim Reporting (Topic 270): Narrow-Scope Improvements." This ASU clarifies the guidance in ASC 270 -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adding a comprehensive list of required interim disclosures and a principle that requires entities to disclose events since the end of the last annual reporting period that have a material impact on the entity. This ASU is effective for interim periods within annual periods beginning after December 15, 2027, with early adoption permitted. The Company is currently evaluating these new disclosure requirements.</w:t>
      </w:r>
    </w:p>
    <w:p>
      <w:pPr>
        <w:spacing w:after="0" w:line="75" w:lineRule="exact"/>
        <w:rPr>
          <w:sz w:val="20"/>
          <w:szCs w:val="20"/>
          <w:color w:val="auto"/>
        </w:rPr>
      </w:pPr>
    </w:p>
    <w:p>
      <w:pPr>
        <w:ind w:right="520" w:firstLine="494"/>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This ASU was issued to modernize the accounting for software</w:t>
      </w:r>
    </w:p>
    <w:p>
      <w:pPr>
        <w:ind w:right="280"/>
        <w:spacing w:after="0" w:line="255" w:lineRule="auto"/>
        <w:rPr>
          <w:sz w:val="20"/>
          <w:szCs w:val="20"/>
          <w:color w:val="auto"/>
        </w:rPr>
      </w:pPr>
      <w:r>
        <w:rPr>
          <w:rFonts w:ascii="Times New Roman" w:cs="Times New Roman" w:eastAsia="Times New Roman" w:hAnsi="Times New Roman"/>
          <w:sz w:val="18"/>
          <w:szCs w:val="18"/>
          <w:color w:val="auto"/>
        </w:rPr>
        <w:t>costs that are accounted for under Subtopic 350-40, including removing references to "project stages" and adding the "probable-to-complete recognition threshold." This ASU is effective for annual periods beginning after December 15, 2027, and interim reporting periods within those annual reporting periods, with early adoption permitted. The Company is currently evaluating these new accounting requirements.</w:t>
      </w:r>
    </w:p>
    <w:p>
      <w:pPr>
        <w:spacing w:after="0" w:line="78"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revenues disaggregated by revenue source: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6"/>
                <w:szCs w:val="16"/>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FF0FC"/>
          </w:tcPr>
          <w:p>
            <w:pPr>
              <w:spacing w:after="0"/>
              <w:rPr>
                <w:sz w:val="18"/>
                <w:szCs w:val="18"/>
                <w:color w:val="auto"/>
              </w:rPr>
            </w:pPr>
          </w:p>
        </w:tc>
      </w:tr>
      <w:tr>
        <w:trPr>
          <w:trHeight w:val="20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spacing w:after="0"/>
              <w:rPr>
                <w:sz w:val="18"/>
                <w:szCs w:val="18"/>
                <w:color w:val="auto"/>
              </w:rPr>
            </w:pP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1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right"/>
              <w:ind w:right="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10"/>
        </w:trPr>
        <w:tc>
          <w:tcPr>
            <w:tcW w:w="3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8"/>
                <w:szCs w:val="18"/>
                <w:color w:val="auto"/>
              </w:rPr>
            </w:pP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8"/>
                <w:szCs w:val="18"/>
                <w:color w:val="auto"/>
              </w:rPr>
            </w:pPr>
          </w:p>
        </w:tc>
        <w:tc>
          <w:tcPr>
            <w:tcW w:w="1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-3642360</wp:posOffset>
            </wp:positionV>
            <wp:extent cx="43459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-2571115</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-2571115</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-2571115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-2150745</wp:posOffset>
            </wp:positionV>
            <wp:extent cx="42773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-1079500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80" w:right="20" w:hanging="372"/>
        <w:spacing w:after="0" w:line="254"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3" w:lineRule="exact"/>
        <w:rPr>
          <w:rFonts w:ascii="Times New Roman" w:cs="Times New Roman" w:eastAsia="Times New Roman" w:hAnsi="Times New Roman"/>
          <w:sz w:val="18"/>
          <w:szCs w:val="18"/>
          <w:color w:val="auto"/>
        </w:rPr>
      </w:pPr>
    </w:p>
    <w:p>
      <w:pPr>
        <w:ind w:left="380" w:right="36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relate to fees for services other than securing coverage for our customers, including fees negotiated in lieu of commissions, and F&amp;I products and services.</w:t>
      </w:r>
    </w:p>
    <w:p>
      <w:pPr>
        <w:ind w:left="380" w:right="28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commissions include additional commissions over base commissions received from insurance carriers based on predetermined growth or production measures. This includes incentive commissions and guaranteed supplemental commissions.</w:t>
      </w:r>
    </w:p>
    <w:p>
      <w:pPr>
        <w:ind w:left="380" w:right="38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 contingent commissions are based primarily on underwriting results, but may also reflect considerations for volume, growth and/or retention.</w:t>
      </w: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premium relates to the premiums earned in the Captives.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consists primarily of interest on cash and investments.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consists primarily of other miscellaneous income.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within Other reflect the elimination of intercompany revenues.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revenues disaggregated by geographic area where our services are being performed: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The balances of contract assets and contract liabilities arising from contracts with customers as of March 31, 2026 and December 31, 2025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908</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168</w:t>
            </w:r>
          </w:p>
        </w:tc>
      </w:tr>
    </w:tbl>
    <w:p>
      <w:pPr>
        <w:spacing w:after="0" w:line="71" w:lineRule="exact"/>
        <w:rPr>
          <w:sz w:val="20"/>
          <w:szCs w:val="20"/>
          <w:color w:val="auto"/>
        </w:rPr>
      </w:pPr>
    </w:p>
    <w:p>
      <w:pPr>
        <w:ind w:right="200" w:firstLine="499"/>
        <w:spacing w:after="0" w:line="266" w:lineRule="auto"/>
        <w:rPr>
          <w:sz w:val="20"/>
          <w:szCs w:val="20"/>
          <w:color w:val="auto"/>
        </w:rPr>
      </w:pPr>
      <w:r>
        <w:rPr>
          <w:rFonts w:ascii="Times New Roman" w:cs="Times New Roman" w:eastAsia="Times New Roman" w:hAnsi="Times New Roman"/>
          <w:sz w:val="18"/>
          <w:szCs w:val="18"/>
          <w:color w:val="auto"/>
        </w:rPr>
        <w:t>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2025, is due to the timing of policy renewals and contingent accruals in the first quarter.</w:t>
      </w:r>
    </w:p>
    <w:p>
      <w:pPr>
        <w:spacing w:after="0" w:line="68"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spacing w:after="0" w:line="72" w:lineRule="exact"/>
        <w:rPr>
          <w:sz w:val="20"/>
          <w:szCs w:val="20"/>
          <w:color w:val="auto"/>
        </w:rPr>
      </w:pPr>
    </w:p>
    <w:p>
      <w:pPr>
        <w:jc w:val="both"/>
        <w:ind w:right="200" w:firstLine="494"/>
        <w:spacing w:after="0" w:line="266" w:lineRule="auto"/>
        <w:rPr>
          <w:sz w:val="20"/>
          <w:szCs w:val="20"/>
          <w:color w:val="auto"/>
        </w:rPr>
      </w:pPr>
      <w:r>
        <w:rPr>
          <w:rFonts w:ascii="Times New Roman" w:cs="Times New Roman" w:eastAsia="Times New Roman" w:hAnsi="Times New Roman"/>
          <w:sz w:val="18"/>
          <w:szCs w:val="18"/>
          <w:color w:val="auto"/>
        </w:rPr>
        <w:t>As of March 31, 2026, deferred revenue totaled $173 million and consisted of $132 million and $41 million classified as short term and long term, respectively. As of December 31, 2025, deferred revenue totaled $168 million and consisted of $127 million and $41 million classified as short term and long term, respectively.</w:t>
      </w:r>
    </w:p>
    <w:p>
      <w:pPr>
        <w:spacing w:after="0" w:line="68"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net amount of revenue recognized related to performance obligations satisfied in a previous period was $13 million and $14 million, consisting of additional variable consideration received on our incentive and Contingents.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Other Assets and Deferred Cost</w:t>
      </w:r>
    </w:p>
    <w:p>
      <w:pPr>
        <w:spacing w:after="0" w:line="12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$149 million and $143 million as of March 31, 2026 and December 31, 2025, respectively. For the three months ended March 31, 2026, the Company deferred $9 million of incremental cost to obtain customer contracts. The Company recorded expense of $3 million associated with the incremental cost to obtain customer contracts for the three months ended March 31, 2026.</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Cost to fulfill - The Company defers certain costs to fulfill contracts and recognizes these costs as the associated performance obligations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fulfilled. The cost to fulfill balance within the other current assets caption in the Company's Condensed Consolidated Balance Sheets was $175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 million as of March 31, 2026 and December 31, 2025, respectively. For the three months ended March 31, 2026, the Company had net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million related to the release of previously deferred contract fulfillment costs associated with performance obligations that were satisfied in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current year deferrals for costs incurred that related to performance obligations yet to be fulfilled.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121" w:lineRule="exact"/>
        <w:rPr>
          <w:sz w:val="20"/>
          <w:szCs w:val="20"/>
          <w:color w:val="auto"/>
        </w:rPr>
      </w:pPr>
    </w:p>
    <w:p>
      <w:pPr>
        <w:ind w:right="120" w:firstLine="494"/>
        <w:spacing w:after="0" w:line="253"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w:t>
      </w:r>
    </w:p>
    <w:tbl>
      <w:tblPr>
        <w:tblLayout w:type="fixed"/>
        <w:tblInd w:w="0" w:type="dxa"/>
        <w:tblCellMar>
          <w:top w:w="0" w:type="dxa"/>
          <w:left w:w="0" w:type="dxa"/>
          <w:bottom w:w="0" w:type="dxa"/>
          <w:right w:w="0" w:type="dxa"/>
        </w:tblCellMar>
      </w:tblPr>
      <w:tr>
        <w:trPr>
          <w:trHeight w:val="158"/>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tcPr>
          <w:p>
            <w:pPr>
              <w:jc w:val="right"/>
              <w:ind w:right="731"/>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Net income attributable to unvested awarded performance stock</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shares – basic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 xml:space="preserve">Less: Gain on mark-to-market of escrow liability </w:t>
            </w:r>
            <w:r>
              <w:rPr>
                <w:rFonts w:ascii="Times New Roman" w:cs="Times New Roman" w:eastAsia="Times New Roman" w:hAnsi="Times New Roman"/>
                <w:sz w:val="9"/>
                <w:szCs w:val="9"/>
                <w:color w:val="auto"/>
              </w:rPr>
              <w:t>(1)</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shares – 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Less: Unvested awarded performance stock</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Dilutive effect of stock compensation plans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 xml:space="preserve">Dilutive effect of contingently issuable shares </w:t>
            </w:r>
            <w:r>
              <w:rPr>
                <w:rFonts w:ascii="Times New Roman" w:cs="Times New Roman" w:eastAsia="Times New Roman" w:hAnsi="Times New Roman"/>
                <w:sz w:val="24"/>
                <w:szCs w:val="24"/>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196"/>
        </w:trPr>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-1893570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-1610995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-1054100</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-487680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-471170</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380" w:right="56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calculation of diluted net income per share for the three months ended March 31, 2026, excludes the gain on the mark-to-market of escrow liability in the numerator and includes the shares held in escrow in the denominator, in accordance with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which requires this treatment in periods where the combined effect of these adjustments is accretive to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121"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the assets and assumed certain liabilities of five insurance intermediaries, all of the stock of one insurance intermediary, and purchased two books of business (customer accounts) for a total of eight acquisitions. Additionally, adjustments were recorded to the purchase price allocation of certain prior acquisitions completed within the last twelve months as permitted by Accounting Standards Codification (“ASC”) Topic 805 — Business Combinations (“ASC 805”).</w:t>
      </w:r>
    </w:p>
    <w:p>
      <w:pPr>
        <w:spacing w:after="0" w:line="72"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w:t>
      </w:r>
    </w:p>
    <w:p>
      <w:pPr>
        <w:ind w:right="80" w:firstLine="8"/>
        <w:spacing w:after="0" w:line="253"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spacing w:after="0" w:line="8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Total consideration for acquisition activity during the three months ended March 31, 2026, was $25 million and included gross cash paid of $18 million, initial fair value of earn-out liabilities of $6 million and other payables of $1 million. The Company recorded $43 million of goodwill, $12 million of other identifiable intangible assets and other net liabilities of $30 million in connection with the acquisitions and measurement period adjustments. The weighted average useful life for the acquired purchased customer accounts is 15 years. Certain acquisition-related disclosures have not been presented as the effect of the acquisitions were not material to the Company's financial results.</w:t>
      </w:r>
    </w:p>
    <w:p>
      <w:pPr>
        <w:spacing w:after="0" w:line="75"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On August 1, 2025, the Company completed the acquisition of Accession pursuant to the Agreement and Plan of Merger (the “Merger Agreement”). The Merger Agreement provided for escrowed consideration in the form of cash and shares of the Company’s common stock. Both the cash and shares are held in an escrow account. Escrowed shares, which were issued at the closing of the acquisition, total approximately 4.4 million shares. Once all claims related to certain indemnification matters described in the Merger Agreement are resolved, any amounts remaining in the escrow account will be released to the equityholders. The amount of the cash balance will change over time based upon payment of any indemnification obligations of the equityholders associated with the discontinued businesses, as well as dividends paid on the shares and interest income earned on the cash. The Company believes this escrow, plus other available funds, is sufficient to cover any potential costs associated with those specified matters subject to indemnification under the Merger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 xml:space="preserve">The value of the shares and cash in the escrow account is presented within long-term liabilities (other liabilities), and the restricted cash is presented within other assets in the Company's Condensed Consolidated Balance Sheets. The value of the shares placed in escrow changes as the share price of the Company increases or decreases as compared to the value at the start of the applicable reporting period. In accordance with ASC 480 -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from Equity </w:t>
      </w:r>
      <w:r>
        <w:rPr>
          <w:rFonts w:ascii="Times New Roman" w:cs="Times New Roman" w:eastAsia="Times New Roman" w:hAnsi="Times New Roman"/>
          <w:sz w:val="18"/>
          <w:szCs w:val="18"/>
          <w:color w:val="auto"/>
        </w:rPr>
        <w:t>and ASC 815 -</w:t>
      </w:r>
      <w:r>
        <w:rPr>
          <w:rFonts w:ascii="Times New Roman" w:cs="Times New Roman" w:eastAsia="Times New Roman" w:hAnsi="Times New Roman"/>
          <w:sz w:val="18"/>
          <w:szCs w:val="18"/>
          <w:i w:val="1"/>
          <w:iCs w:val="1"/>
          <w:color w:val="auto"/>
        </w:rPr>
        <w:t xml:space="preserve"> Derivatives and Hedging</w:t>
      </w:r>
      <w:r>
        <w:rPr>
          <w:rFonts w:ascii="Times New Roman" w:cs="Times New Roman" w:eastAsia="Times New Roman" w:hAnsi="Times New Roman"/>
          <w:sz w:val="18"/>
          <w:szCs w:val="18"/>
          <w:color w:val="auto"/>
        </w:rPr>
        <w:t>, periodic share value changes will be recorded as a mark-to-market of the escrow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Consolidated Statements of Income. This mark-to-market adjustment is non-cash.</w:t>
      </w:r>
    </w:p>
    <w:p>
      <w:pPr>
        <w:spacing w:after="0" w:line="116"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the total balance of the escrow liability was $552 million, with $288 million in escrowed shares and $268 million in cash, net of reimbursements receivable of $4 million. The fair value of the shares held in escrow are re-evaluated and measured at fair value on a recurring basis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change in fair value of the shares for the three months ended March 31, 2026, resulted in a $64 million decrease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Earn-Out Payables</w:t>
      </w:r>
    </w:p>
    <w:p>
      <w:pPr>
        <w:spacing w:after="0" w:line="121"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2025,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additions, payments, and net changes, as well as the interest expense accretion on the estimated acquisition earn-out payables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541</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from new acquisitions</w:t>
            </w:r>
          </w:p>
        </w:tc>
        <w:tc>
          <w:tcPr>
            <w:tcW w:w="360" w:type="dxa"/>
            <w:vAlign w:val="bottom"/>
          </w:tcPr>
          <w:p>
            <w:pPr>
              <w:spacing w:after="0"/>
              <w:rPr>
                <w:sz w:val="18"/>
                <w:szCs w:val="18"/>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Assumed estimated acquisition earn-out payables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-316230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right="460" w:firstLine="494"/>
        <w:spacing w:after="0" w:line="266" w:lineRule="auto"/>
        <w:rPr>
          <w:sz w:val="20"/>
          <w:szCs w:val="20"/>
          <w:color w:val="auto"/>
        </w:rPr>
      </w:pPr>
      <w:r>
        <w:rPr>
          <w:rFonts w:ascii="Times New Roman" w:cs="Times New Roman" w:eastAsia="Times New Roman" w:hAnsi="Times New Roman"/>
          <w:sz w:val="18"/>
          <w:szCs w:val="18"/>
          <w:color w:val="auto"/>
        </w:rPr>
        <w:t>Of the $393 million of estimated acquisition earn-out payables as of March 31, 2026, $193 million was recorded as accounts payable and $200 million was recorded as other non-current liabilities. Included within the additions to estimated acquisition earn-out payables are any adjustments to opening balance sheet items within the allowable measurement period, which may therefore differ from previously reported amounts.</w:t>
      </w:r>
    </w:p>
    <w:p>
      <w:pPr>
        <w:spacing w:after="0" w:line="68" w:lineRule="exact"/>
        <w:rPr>
          <w:sz w:val="20"/>
          <w:szCs w:val="20"/>
          <w:color w:val="auto"/>
        </w:rPr>
      </w:pPr>
    </w:p>
    <w:p>
      <w:pPr>
        <w:jc w:val="both"/>
        <w:ind w:right="240" w:firstLine="494"/>
        <w:spacing w:after="0" w:line="266" w:lineRule="auto"/>
        <w:rPr>
          <w:sz w:val="20"/>
          <w:szCs w:val="20"/>
          <w:color w:val="auto"/>
        </w:rPr>
      </w:pPr>
      <w:r>
        <w:rPr>
          <w:rFonts w:ascii="Times New Roman" w:cs="Times New Roman" w:eastAsia="Times New Roman" w:hAnsi="Times New Roman"/>
          <w:sz w:val="18"/>
          <w:szCs w:val="18"/>
          <w:color w:val="auto"/>
        </w:rPr>
        <w:t>Certain acquisition agreements include provisions with no maximum potential earn-out amount. The amount recorded for these acquisitions as of March 31, 2026 was $248 million. As of March 31, 2026, the maximum future contingency payments related to all acquisition agreements that include a cap on the potential earnout amount totaled $441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three months ended March 31, 2026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9,173</w:t>
            </w:r>
          </w:p>
        </w:tc>
        <w:tc>
          <w:tcPr>
            <w:tcW w:w="7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5,914</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15,087</w:t>
            </w:r>
          </w:p>
        </w:tc>
        <w:tc>
          <w:tcPr>
            <w:tcW w:w="180" w:type="dxa"/>
            <w:vAlign w:val="bottom"/>
            <w:shd w:val="clear" w:color="auto" w:fill="CFF0FC"/>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r>
      <w:tr>
        <w:trPr>
          <w:trHeight w:val="216"/>
        </w:trPr>
        <w:tc>
          <w:tcPr>
            <w:tcW w:w="46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Adjustments during measurement period </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9,166</w:t>
            </w: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5,910</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15,076</w:t>
            </w:r>
          </w:p>
        </w:tc>
        <w:tc>
          <w:tcPr>
            <w:tcW w:w="1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380" w:right="18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7 Amortizable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6"/>
        </w:trPr>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1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7"/>
                <w:szCs w:val="17"/>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7"/>
                <w:szCs w:val="17"/>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1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9"/>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6,966</w:t>
            </w:r>
          </w:p>
        </w:tc>
        <w:tc>
          <w:tcPr>
            <w:tcW w:w="4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6,852</w:t>
            </w:r>
          </w:p>
        </w:tc>
        <w:tc>
          <w:tcPr>
            <w:tcW w:w="4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4,815</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38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6,943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4,782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6,955</w:t>
            </w:r>
          </w:p>
        </w:tc>
        <w:tc>
          <w:tcPr>
            <w:tcW w:w="4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19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305"/>
        </w:trPr>
        <w:tc>
          <w:tcPr>
            <w:tcW w:w="760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Estimated amortization expense for intangible assets for each of the next five years is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9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FF0FC"/>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FF0FC"/>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right w:val="single" w:sz="8" w:color="CFF0FC"/>
            </w:tcBorders>
            <w:shd w:val="clear" w:color="auto" w:fill="CFF0FC"/>
          </w:tcPr>
          <w:p>
            <w:pPr>
              <w:spacing w:after="0"/>
              <w:rPr>
                <w:sz w:val="20"/>
                <w:szCs w:val="20"/>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80" w:type="dxa"/>
            <w:vAlign w:val="bottom"/>
            <w:tcBorders>
              <w:bottom w:val="single" w:sz="8" w:color="CFF0FC"/>
            </w:tcBorders>
            <w:shd w:val="clear" w:color="auto" w:fill="CFF0FC"/>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48"/>
        </w:trPr>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-2339340</wp:posOffset>
            </wp:positionV>
            <wp:extent cx="94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-2322830</wp:posOffset>
            </wp:positionV>
            <wp:extent cx="94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-2339340</wp:posOffset>
            </wp:positionV>
            <wp:extent cx="94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-2322830</wp:posOffset>
            </wp:positionV>
            <wp:extent cx="94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-2339340</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-2322830</wp:posOffset>
            </wp:positionV>
            <wp:extent cx="94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-2339340</wp:posOffset>
            </wp:positionV>
            <wp:extent cx="946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-2322830</wp:posOffset>
            </wp:positionV>
            <wp:extent cx="94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-2339340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-2322830</wp:posOffset>
            </wp:positionV>
            <wp:extent cx="93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-933450</wp:posOffset>
            </wp:positionV>
            <wp:extent cx="514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2540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5-year term loan facility expires 2026 periodic interest and principal payments, SOFR plus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 to 1.750%, expires October 27,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4.600% senior notes, semi-annual interest payments, balloon due 2026</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5-year revolving loan facility, periodic interest payments,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SOFR plus up to 1.525%, plus commitment fees up to 0.225%, expires October 27, 2026</w:t>
            </w:r>
          </w:p>
        </w:tc>
        <w:tc>
          <w:tcPr>
            <w:tcW w:w="14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2027</w:t>
            </w: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4.700% senior notes, semi-annual interest payments, balloon due 2028</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4.500% senior notes, semi-annual interest payments, balloon due 2029</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4.900% senior notes, semi-annual interest payments, balloon due 2030</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2.375% senior notes, semi-annual interest payments, balloon due 2031</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4.200% senior notes, semi-annual interest payments, balloon due 2032</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5.250% senior notes, semi-annual interest payments, balloon due 2032</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5.650% senior notes, semi-annual interest payments, balloon due 2034</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5.550% senior notes, semi-annual interest payments, balloon due 2035</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4.950% senior notes, semi-annual interest payments, balloon due 2052</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6.250% senior notes, semi-annual interest payments, balloon due 2055</w:t>
            </w: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notes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10"/>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agreements:</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1.750%, expires March</w:t>
            </w:r>
          </w:p>
        </w:tc>
        <w:tc>
          <w:tcPr>
            <w:tcW w:w="140" w:type="dxa"/>
            <w:vAlign w:val="bottom"/>
          </w:tcPr>
          <w:p>
            <w:pPr>
              <w:spacing w:after="0"/>
              <w:rPr>
                <w:sz w:val="17"/>
                <w:szCs w:val="17"/>
                <w:color w:val="auto"/>
              </w:rPr>
            </w:pPr>
          </w:p>
        </w:tc>
        <w:tc>
          <w:tcPr>
            <w:tcW w:w="12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credit agreements</w:t>
            </w: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9"/>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Unamortized portion of debt discounts related to note agreements (contra)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Debt issuance costs (contra)</w:t>
            </w: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long-term debt, less unamortized discount and debt issuance costs</w:t>
            </w:r>
          </w:p>
        </w:tc>
        <w:tc>
          <w:tcPr>
            <w:tcW w:w="14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6,584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0"/>
        </w:trPr>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7,822</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-1439545</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-736600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-453390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Note agreements: </w:t>
      </w:r>
      <w:r>
        <w:rPr>
          <w:rFonts w:ascii="Times New Roman" w:cs="Times New Roman" w:eastAsia="Times New Roman" w:hAnsi="Times New Roman"/>
          <w:sz w:val="18"/>
          <w:szCs w:val="18"/>
          <w:color w:val="auto"/>
        </w:rPr>
        <w:t>On June 11, 2025, the Company entered into an Underwriting Agreement (the “Notes Underwriting Agreement”) with BofA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March 31, 2026 and December 31, 2025, the aggregate outstanding balance of these Notes was $4,200 million exclusive of the associated discount balance.</w:t>
      </w:r>
    </w:p>
    <w:p>
      <w:pPr>
        <w:spacing w:after="0" w:line="81"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The Company maintains notes from other issuances aggregating to a total outstanding debt balance of $2,850 million exclusive of the associated discount balance as of March 31, 2026 and December 31, 2025.</w:t>
      </w:r>
    </w:p>
    <w:p>
      <w:pPr>
        <w:spacing w:after="0" w:line="50" w:lineRule="exact"/>
        <w:rPr>
          <w:sz w:val="20"/>
          <w:szCs w:val="20"/>
          <w:color w:val="auto"/>
        </w:rPr>
      </w:pPr>
    </w:p>
    <w:p>
      <w:pPr>
        <w:ind w:right="60" w:firstLine="49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Credit agreements: </w:t>
      </w:r>
      <w:r>
        <w:rPr>
          <w:rFonts w:ascii="Times New Roman" w:cs="Times New Roman" w:eastAsia="Times New Roman" w:hAnsi="Times New Roman"/>
          <w:sz w:val="18"/>
          <w:szCs w:val="18"/>
          <w:color w:val="auto"/>
        </w:rPr>
        <w:t>The Company has credit agreements that include term loans and a Revolving Credit Facility of $800 million, all having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covenants. The outstanding balance on the term loans was $513 million and $532 million as of March 31, 2026 and December 31, 2025, respectively. There was an outstanding balance of $325 million on the Revolving Credit Facility as of March 31, 2026, and $100 million outstanding as of December 31, 2025.</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required to maintain certain financial ratios and comply with certain other covenants related to the outstanding credit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such covenants as of March 31, 2026 and 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At March 31, 2026, the one month term SOFR Rate for the term loan due October 2026 and the term loan due March 2027 was 3.768%. The one month term SOFR Rate on the Revolving Credit Facility due October 2026 was 3.767% as of March 31, 2026. These SOFR rates are inclusive of a 0.100% credit-spread adjustment per the terms of the relevant agreements.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liabilities that are not measured at fair value on a recurring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80" w:type="dxa"/>
            <w:vAlign w:val="bottom"/>
            <w:gridSpan w:val="2"/>
            <w:shd w:val="clear" w:color="auto" w:fill="CFF0FC"/>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6,433</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spacing w:after="0" w:line="72" w:lineRule="exact"/>
        <w:rPr>
          <w:sz w:val="20"/>
          <w:szCs w:val="20"/>
          <w:color w:val="auto"/>
        </w:rPr>
      </w:pPr>
    </w:p>
    <w:p>
      <w:pPr>
        <w:ind w:right="440" w:firstLine="494"/>
        <w:spacing w:after="0" w:line="282" w:lineRule="auto"/>
        <w:rPr>
          <w:sz w:val="20"/>
          <w:szCs w:val="20"/>
          <w:color w:val="auto"/>
        </w:rPr>
      </w:pPr>
      <w:r>
        <w:rPr>
          <w:rFonts w:ascii="Times New Roman" w:cs="Times New Roman" w:eastAsia="Times New Roman" w:hAnsi="Times New Roman"/>
          <w:sz w:val="18"/>
          <w:szCs w:val="18"/>
          <w:color w:val="auto"/>
        </w:rPr>
        <w:t>The balances and classification of operating lease right-of-use assets and operating lease liabilities within the Condensed Consolidated Balance Sheets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9"/>
        </w:trPr>
        <w:tc>
          <w:tcPr>
            <w:tcW w:w="40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w:t>
            </w:r>
          </w:p>
        </w:tc>
        <w:tc>
          <w:tcPr>
            <w:tcW w:w="6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10"/>
        </w:trPr>
        <w:tc>
          <w:tcPr>
            <w:tcW w:w="4080" w:type="dxa"/>
            <w:vAlign w:val="bottom"/>
            <w:tcBorders>
              <w:top w:val="single" w:sz="8" w:color="CFF0FC"/>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4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169"/>
        </w:trPr>
        <w:tc>
          <w:tcPr>
            <w:tcW w:w="40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4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40" w:type="dxa"/>
            <w:vAlign w:val="bottom"/>
            <w:tcBorders>
              <w:bottom w:val="single" w:sz="8" w:color="CFF0FC"/>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r>
      <w:tr>
        <w:trPr>
          <w:trHeight w:val="210"/>
        </w:trPr>
        <w:tc>
          <w:tcPr>
            <w:tcW w:w="4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4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297</w:t>
            </w: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-736600</wp:posOffset>
            </wp:positionV>
            <wp:extent cx="93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93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for operating leases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3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cost</w:t>
            </w:r>
          </w:p>
        </w:tc>
        <w:tc>
          <w:tcPr>
            <w:tcW w:w="3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30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cost net</w:t>
            </w:r>
          </w:p>
        </w:tc>
        <w:tc>
          <w:tcPr>
            <w:tcW w:w="30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as of March 31, 2026 were: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740" w:type="dxa"/>
            <w:vAlign w:val="bottom"/>
            <w:shd w:val="clear" w:color="auto" w:fill="CFF0FC"/>
          </w:tcPr>
          <w:p>
            <w:pPr>
              <w:ind w:left="636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740" w:type="dxa"/>
            <w:vAlign w:val="bottom"/>
          </w:tcPr>
          <w:p>
            <w:pPr>
              <w:ind w:left="6360"/>
              <w:spacing w:after="0"/>
              <w:rPr>
                <w:sz w:val="20"/>
                <w:szCs w:val="20"/>
                <w:color w:val="auto"/>
              </w:rPr>
            </w:pPr>
            <w:r>
              <w:rPr>
                <w:rFonts w:ascii="Times New Roman" w:cs="Times New Roman" w:eastAsia="Times New Roman" w:hAnsi="Times New Roman"/>
                <w:sz w:val="18"/>
                <w:szCs w:val="18"/>
                <w:color w:val="auto"/>
                <w:w w:val="95"/>
              </w:rPr>
              <w:t>4.1%</w:t>
            </w:r>
          </w:p>
        </w:tc>
      </w:tr>
      <w:tr>
        <w:trPr>
          <w:trHeight w:val="630"/>
        </w:trPr>
        <w:tc>
          <w:tcPr>
            <w:tcW w:w="4500" w:type="dxa"/>
            <w:vAlign w:val="bottom"/>
          </w:tcPr>
          <w:p>
            <w:pPr>
              <w:spacing w:after="0"/>
              <w:rPr>
                <w:sz w:val="24"/>
                <w:szCs w:val="24"/>
                <w:color w:val="auto"/>
              </w:rPr>
            </w:pPr>
          </w:p>
        </w:tc>
        <w:tc>
          <w:tcPr>
            <w:tcW w:w="67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18</w:t>
            </w:r>
          </w:p>
        </w:tc>
      </w:tr>
      <w:tr>
        <w:trPr>
          <w:trHeight w:val="763"/>
        </w:trPr>
        <w:tc>
          <w:tcPr>
            <w:tcW w:w="45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by fiscal year at March 31, 2026 for the Company's operating leases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305"/>
        </w:trPr>
        <w:tc>
          <w:tcPr>
            <w:tcW w:w="664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for operating leases is as follows:</w:t>
            </w:r>
          </w:p>
        </w:tc>
        <w:tc>
          <w:tcPr>
            <w:tcW w:w="10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Disclosures of Cash Flow Information and Non-Cash Financing and Investing Activities</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had an impact of $27 million from foreign exchange rate changes on cash, cash equivalents and restricted cash inclusive of fiduciary cash reported on its Condensed Consolidated Statements of Cash Flows due to the change in currency exchange rates.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during the period for interest and income taxes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116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132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16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Significant non-cash investing and financing activities are summarized as follows: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22"/>
                <w:szCs w:val="22"/>
                <w:color w:val="auto"/>
              </w:rPr>
            </w:pPr>
          </w:p>
        </w:tc>
        <w:tc>
          <w:tcPr>
            <w:tcW w:w="29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payables issued for acquisitions and purchased customer accounts</w:t>
            </w:r>
          </w:p>
        </w:tc>
        <w:tc>
          <w:tcPr>
            <w:tcW w:w="11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Estimated acquisition earn-out payables issued for acquisitions</w:t>
            </w:r>
          </w:p>
        </w:tc>
        <w:tc>
          <w:tcPr>
            <w:tcW w:w="11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acquisition earn-out payables</w:t>
            </w:r>
          </w:p>
        </w:tc>
        <w:tc>
          <w:tcPr>
            <w:tcW w:w="11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80" w:firstLine="494"/>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balances relate to amounts held in escrow in accordance with the Merger Agreement. Once all claims related to certain indemnification matters described in the Merger Agreement are resolved, the remaining cash in the escrow account will be released to the equityholders. Restricted cash is presented within other assets in the Company's Condensed 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March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 to reconcile cash, cash equivalents and restricted cash inclusive of fiduciary cash</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1,003</w:t>
            </w:r>
          </w:p>
        </w:tc>
        <w:tc>
          <w:tcPr>
            <w:tcW w:w="8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Fiduciary cash</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 inclusive of fiduciary cash at the end of the period</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3,658</w:t>
            </w:r>
          </w:p>
        </w:tc>
        <w:tc>
          <w:tcPr>
            <w:tcW w:w="1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111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Legal and Regulatory Proceedings</w:t>
      </w:r>
    </w:p>
    <w:p>
      <w:pPr>
        <w:spacing w:after="0" w:line="12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spacing w:after="0" w:line="80"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200" w:firstLine="494"/>
        <w:spacing w:after="0" w:line="253" w:lineRule="auto"/>
        <w:rPr>
          <w:sz w:val="20"/>
          <w:szCs w:val="20"/>
          <w:color w:val="auto"/>
        </w:rPr>
      </w:pPr>
      <w:r>
        <w:rPr>
          <w:rFonts w:ascii="Times New Roman" w:cs="Times New Roman" w:eastAsia="Times New Roman" w:hAnsi="Times New Roman"/>
          <w:sz w:val="18"/>
          <w:szCs w:val="18"/>
          <w:color w:val="auto"/>
        </w:rPr>
        <w:t>In conjunction with the acquisition of Accession in the third quarter of 2025, the Company aligned its business from three to two segments. As a result of the segment reorganization, the Company consolidated its Programs and Wholesale Brokerage segments into a new Specialty Distribution segment. As a result, beginning in the third quarter of 2025, the Company reports its financial results in the following two reportable segments: (i) the Retail segment, which provides a broad range of insurance products and services to commercial, public and quasi-public entities, and to professional and individual customers, and non-insurance risk-mitigating products through our F&amp;I businesses; and (ii) the Specialty Distribution segment, which consists of our programs, wholesale brokerage and specialty businesses. Our programs businesses which act as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Our wholesale brokerage businesses underwrite and place excess and surplus commercial and personal lines insurance, typically for specialized or hard-to-place types of risks, primarily through a global network of independent agents and brokers, including Brown &amp; Brown retail agents. Our specialty business offers solutions across affinity and administrative services, captives, reinsurance, travel/accident, warranty, and life &amp; health.</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presented for the three months ended March 31, 2025 have been recast to align with the two-segment structure.</w:t>
      </w:r>
    </w:p>
    <w:p>
      <w:pPr>
        <w:spacing w:after="0" w:line="117"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Brown &amp; Brown conducts most of its operations within the U.S. International retail operations include businesses based in Bermuda, Canada, Cayman Islands, India, the Netherlands, Republic of Ireland and the United Kingdom; specialty distribution operations are in Belgium, Canada, France, Germany, Hong Kong, Italy, Malaysia, the Netherlands, Singapore, United Arab Emirates and the United Kingdom. These international operations earned $264 million and $230 million of total revenues for the three months ended March 31, 2026 and 2025, respectively.</w:t>
      </w:r>
    </w:p>
    <w:p>
      <w:pPr>
        <w:spacing w:after="0" w:line="72"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the president and chief executive officer, regularly receives segment information on total revenue, organic revenue growth, the growth in Contingents,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therefore, they have not been presented.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7"/>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tcPr>
          <w:p>
            <w:pPr>
              <w:spacing w:after="0"/>
              <w:rPr>
                <w:sz w:val="18"/>
                <w:szCs w:val="18"/>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18"/>
                <w:szCs w:val="18"/>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-4217035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-3085465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-3085465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-3085465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-590550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any income and expenses not allocated to reportable segments and corporate-related items.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 categories and amounts align with the segment-level information that is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13 Insurance Company Subsidiary Operations</w:t>
      </w:r>
    </w:p>
    <w:p>
      <w:pPr>
        <w:spacing w:after="0" w:line="12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The Company operates a write-your-own flood insurance carrier, Wright National Flood Insurance Company. WNFIC’s underwriting business consists of policies written pursuant to the NFIP, the program administered by FEMA to which premiums and underwriting exposure are ceded, and excess flood policies, which are fully reinsured in the private market. Congressional authorization for the NFIP is periodically evaluated and may be subject to potential government shutdowns. The Company sells excess flood policies, which are 100% ceded to a highly rated reinsurance carrier.</w:t>
      </w:r>
    </w:p>
    <w:p>
      <w:pPr>
        <w:spacing w:after="0" w:line="72" w:lineRule="exact"/>
        <w:rPr>
          <w:sz w:val="20"/>
          <w:szCs w:val="20"/>
          <w:color w:val="auto"/>
        </w:rPr>
      </w:pPr>
    </w:p>
    <w:p>
      <w:pPr>
        <w:ind w:right="40" w:firstLine="494"/>
        <w:spacing w:after="0" w:line="271" w:lineRule="auto"/>
        <w:rPr>
          <w:sz w:val="20"/>
          <w:szCs w:val="20"/>
          <w:color w:val="auto"/>
        </w:rPr>
      </w:pPr>
      <w:r>
        <w:rPr>
          <w:rFonts w:ascii="Times New Roman" w:cs="Times New Roman" w:eastAsia="Times New Roman" w:hAnsi="Times New Roman"/>
          <w:sz w:val="17"/>
          <w:szCs w:val="17"/>
          <w:color w:val="auto"/>
        </w:rPr>
        <w:t>The Company operates and/or participates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ancillary insurance operations facilitate additional underwriting capacity, generate incremental revenues and/or enable the Company to participate in certain underwriting results. The Company acquired certain of the insurance operations through the acquisition of Accession. Several of the newly acquired entities were consolidated after determining that they qualify as Variable Interest Entities ("VIEs"), and the Company is the primary beneficiary. These entities are required to follow the regulatory requirements of their respective domiciliary governments. Total assets and liabilities of the Company's consolidated VIE insurance operations included on the consolidated balance sheets were $1,003 million each, as of March 31, 2026. The assets of the consolidated VIE insurance operations can only be used to settle the obligations of the consolidated VIE insurance operations and the creditors and beneficiaries of the liabilities of the consolidated VIE insurance operations do not have recourse to the Company.</w:t>
      </w:r>
    </w:p>
    <w:p>
      <w:pPr>
        <w:spacing w:after="0" w:line="65"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Company purchases reinsurance from other insurance companies to limit total exposure. In addition, the Company cedes insurance risk to other insurance companies and the U.S. government as permitted by the NFIP. The Company’s SCICs are created for clients to insure their risks and manage the costs of their insurance programs. In these arrangements, the Company acts as a fronting insurer and enters into reinsurance treaties, under which the Company has ceded all of the liabilities to client-owned captive cells through cross collateralization between the cells. The premiums and underwriting exposure related to the Company’s SCIC insurance operations are fully ceded to the client-owned captive cells such that the Company’s SCIC operations have no underwriting risk on a net written basis.</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quota share captive participates in risk sharing on policies placed by certain of our MGU businesses that currently underwrite property insurance for earthquake and wind exposed properties. A large portion of written premiums are ceded to reinsurance companies, limiting, but not fully eliminating the Company's exposure to underwriting losses.</w:t>
      </w:r>
    </w:p>
    <w:p>
      <w:pPr>
        <w:spacing w:after="0" w:line="68"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The excess of loss layer captive participates in risk sharing on policies placed by one of our MGU businesses that underwrites risks associated with personal property, excluding flood, primarily in the southeastern United States with one layer of per risk excess reinsurance and three layers of catastrophe per occurrence reinsurance. All four layers have limited reinstatements; and therefore, the layers have capped, maximum aggregate limits.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effects of reinsurance on premiums written and earned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WNFIC:</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 WNFIC</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Captives: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premiums - Captives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 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-1019810</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WNFIC</w:t>
      </w:r>
    </w:p>
    <w:p>
      <w:pPr>
        <w:spacing w:after="0" w:line="117" w:lineRule="exact"/>
        <w:rPr>
          <w:sz w:val="20"/>
          <w:szCs w:val="20"/>
          <w:color w:val="auto"/>
        </w:rPr>
      </w:pPr>
    </w:p>
    <w:p>
      <w:pPr>
        <w:jc w:val="both"/>
        <w:ind w:right="220" w:firstLine="494"/>
        <w:spacing w:after="0" w:line="266" w:lineRule="auto"/>
        <w:rPr>
          <w:sz w:val="20"/>
          <w:szCs w:val="20"/>
          <w:color w:val="auto"/>
        </w:rPr>
      </w:pPr>
      <w:r>
        <w:rPr>
          <w:rFonts w:ascii="Times New Roman" w:cs="Times New Roman" w:eastAsia="Times New Roman" w:hAnsi="Times New Roman"/>
          <w:sz w:val="18"/>
          <w:szCs w:val="18"/>
          <w:color w:val="auto"/>
        </w:rPr>
        <w:t>All premiums written by the Company under NFIP are 100% ceded to FEMA, for which WNFIC received a 28.4% gross expense allowance from January 1, 2026 through March 31, 2026. For the same period, the Company ceded $220 million of written premiums to FEMA for NFIP policies and $1 million to highly rated carriers for excess flood policies.</w:t>
      </w:r>
    </w:p>
    <w:p>
      <w:pPr>
        <w:spacing w:after="0" w:line="68" w:lineRule="exact"/>
        <w:rPr>
          <w:sz w:val="20"/>
          <w:szCs w:val="20"/>
          <w:color w:val="auto"/>
        </w:rPr>
      </w:pPr>
    </w:p>
    <w:p>
      <w:pPr>
        <w:ind w:right="280" w:firstLine="494"/>
        <w:spacing w:after="0" w:line="258" w:lineRule="auto"/>
        <w:rPr>
          <w:sz w:val="20"/>
          <w:szCs w:val="20"/>
          <w:color w:val="auto"/>
        </w:rPr>
      </w:pPr>
      <w:r>
        <w:rPr>
          <w:rFonts w:ascii="Times New Roman" w:cs="Times New Roman" w:eastAsia="Times New Roman" w:hAnsi="Times New Roman"/>
          <w:sz w:val="18"/>
          <w:szCs w:val="18"/>
          <w:color w:val="auto"/>
        </w:rPr>
        <w:t>As of March 31, 2026, the Condensed Consolidated Balance Sheets contained reinsurance recoverable of $125 million and prepaid reinsurance premiums of $507 million, which are related to the WNFIC business. For flood policies, there was no change in the balance in the reserve for losses and loss adjustment expense net of reinsurance recoverable during the period January 1, 2026 through March 31, 2026, as the Company's direct premiums written were 100% ceded to two reinsurers. The gross balance of the reserve for losses and loss adjustment expense for the WNFIC, excluding related reinsurance recoverable, as of March 31, 2026 was $125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Captives</w:t>
      </w:r>
    </w:p>
    <w:p>
      <w:pPr>
        <w:spacing w:after="0" w:line="117"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As of March 31, 2026, the Consolidated Balance Sheet contained the following balances related to the Captives: deferred acquisition costs of $10 million, prepaid reinsurance premiums of $362 million, reinsurance payable of $233 million, the reserve for losses and loss adjustment expense, excluding related reinsurance recoverable, of $486 million and unearned premiums of $431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Equity</w:t>
      </w:r>
    </w:p>
    <w:p>
      <w:pPr>
        <w:spacing w:after="0" w:line="121"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$250 million each (unless otherwise approved by the board of directors), negotiated private transactions or pursuant to any trading plan that may be adopted in accordance with Rule 10b5-1 of the Securities Exchange Act of 1934.</w:t>
      </w:r>
    </w:p>
    <w:p>
      <w:pPr>
        <w:spacing w:after="0" w:line="75"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On October 22, 2025, the board of directors approved an additional $1,251 million increase to our existing share repurchase authorization, bringing our total remaining repurchase capacity at that time to approximately $1,500 million of the Company's outstanding common stock.</w:t>
      </w:r>
    </w:p>
    <w:p>
      <w:pPr>
        <w:spacing w:after="0" w:line="54"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On February 12, 2026, the Company entered into accelerated share repurchase agreement ("ASR") with an investment bank to purchase an aggregate $250 million of the Company's common stock. The program ended on March 9, 2026 and during the period, the Company received a total of 3,574,890 shares of the Company's common stock. At March 31, 2026, the remaining amount authorized by our board of directors for share repurchases was approximately $1,150 million.</w:t>
      </w:r>
    </w:p>
    <w:p>
      <w:pPr>
        <w:spacing w:after="0" w:line="72"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During the first quarter, the Company paid a dividend of $0.165 per share, which was approved by the board of directors on January 21, 2026 and paid on February 11, 2026 for a total of $57 million. On April 27, 2026, the board of directors approved a quarterly cash dividend of $0.165 per share to be paid on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320" w:firstLine="499"/>
        <w:spacing w:after="0" w:line="282" w:lineRule="auto"/>
        <w:rPr>
          <w:sz w:val="20"/>
          <w:szCs w:val="20"/>
          <w:color w:val="auto"/>
        </w:rPr>
      </w:pPr>
      <w:r>
        <w:rPr>
          <w:rFonts w:ascii="Times New Roman" w:cs="Times New Roman" w:eastAsia="Times New Roman" w:hAnsi="Times New Roman"/>
          <w:sz w:val="18"/>
          <w:szCs w:val="18"/>
          <w:color w:val="auto"/>
        </w:rPr>
        <w:t>The following discussion updates the Management’s Discussion and Analysis of Financial Condition and Results of Operations contained in the Company’s Annual Report on Form 10-K for the fiscal year ended December 31, 2025, and the two discussions should be read together.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 First Quarter of 2026</w:t>
      </w:r>
    </w:p>
    <w:p>
      <w:pPr>
        <w:spacing w:after="0" w:line="121" w:lineRule="exact"/>
        <w:rPr>
          <w:sz w:val="20"/>
          <w:szCs w:val="20"/>
          <w:color w:val="auto"/>
        </w:rPr>
      </w:pPr>
    </w:p>
    <w:p>
      <w:pPr>
        <w:ind w:right="260" w:firstLine="49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regarding important information on non-GAAP financial measures contained in our discussion and analysis.</w:t>
      </w:r>
    </w:p>
    <w:p>
      <w:pPr>
        <w:spacing w:after="0" w:line="72" w:lineRule="exact"/>
        <w:rPr>
          <w:sz w:val="20"/>
          <w:szCs w:val="20"/>
          <w:color w:val="auto"/>
        </w:rPr>
      </w:pPr>
    </w:p>
    <w:p>
      <w:pPr>
        <w:ind w:right="80" w:firstLine="499"/>
        <w:spacing w:after="0" w:line="253" w:lineRule="auto"/>
        <w:rPr>
          <w:sz w:val="20"/>
          <w:szCs w:val="20"/>
          <w:color w:val="auto"/>
        </w:rPr>
      </w:pPr>
      <w:r>
        <w:rPr>
          <w:rFonts w:ascii="Times New Roman" w:cs="Times New Roman" w:eastAsia="Times New Roman" w:hAnsi="Times New Roman"/>
          <w:sz w:val="18"/>
          <w:szCs w:val="18"/>
          <w:color w:val="auto"/>
        </w:rPr>
        <w:t>We are a diversified insurance agency, wholesale brokerage, insurance programs, specialty insurance business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captive insurance facilities for the purpose of having additional capacity to place coverage, driving additional revenues and to participate in underwriting results, and to limit the Company's exposure to claims expenses through reinsurance or by only participating in certain tranches of the underwriting. We also operate registered insurance companies to support our national flood insurance program and to support our cross-collateralized segregated captive cell businesses. We do not participate in earnings of the collateralized segregated captive cells.</w:t>
      </w:r>
    </w:p>
    <w:p>
      <w:pPr>
        <w:spacing w:after="0" w:line="84" w:lineRule="exact"/>
        <w:rPr>
          <w:sz w:val="20"/>
          <w:szCs w:val="20"/>
          <w:color w:val="auto"/>
        </w:rPr>
      </w:pPr>
    </w:p>
    <w:p>
      <w:pPr>
        <w:ind w:right="20" w:firstLine="499"/>
        <w:spacing w:after="0" w:line="274" w:lineRule="auto"/>
        <w:rPr>
          <w:sz w:val="20"/>
          <w:szCs w:val="20"/>
          <w:color w:val="auto"/>
        </w:rPr>
      </w:pPr>
      <w:r>
        <w:rPr>
          <w:rFonts w:ascii="Times New Roman" w:cs="Times New Roman" w:eastAsia="Times New Roman" w:hAnsi="Times New Roman"/>
          <w:sz w:val="17"/>
          <w:szCs w:val="17"/>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Furthermore,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65" w:lineRule="exact"/>
        <w:rPr>
          <w:sz w:val="20"/>
          <w:szCs w:val="20"/>
          <w:color w:val="auto"/>
        </w:rPr>
      </w:pPr>
    </w:p>
    <w:p>
      <w:pPr>
        <w:ind w:right="180" w:firstLine="499"/>
        <w:spacing w:after="0" w:line="261" w:lineRule="auto"/>
        <w:rPr>
          <w:sz w:val="20"/>
          <w:szCs w:val="20"/>
          <w:color w:val="auto"/>
        </w:rPr>
      </w:pPr>
      <w:r>
        <w:rPr>
          <w:rFonts w:ascii="Times New Roman" w:cs="Times New Roman" w:eastAsia="Times New Roman" w:hAnsi="Times New Roman"/>
          <w:sz w:val="18"/>
          <w:szCs w:val="18"/>
          <w:color w:val="auto"/>
        </w:rPr>
        <w:t>The term “core commissions and fees” excludes Contingents;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2" w:lineRule="exact"/>
        <w:rPr>
          <w:sz w:val="20"/>
          <w:szCs w:val="20"/>
          <w:color w:val="auto"/>
        </w:rPr>
      </w:pPr>
    </w:p>
    <w:p>
      <w:pPr>
        <w:ind w:right="20" w:firstLine="499"/>
        <w:spacing w:after="0" w:line="256" w:lineRule="auto"/>
        <w:rPr>
          <w:sz w:val="20"/>
          <w:szCs w:val="20"/>
          <w:color w:val="auto"/>
        </w:rPr>
      </w:pPr>
      <w:r>
        <w:rPr>
          <w:rFonts w:ascii="Times New Roman" w:cs="Times New Roman" w:eastAsia="Times New Roman" w:hAnsi="Times New Roman"/>
          <w:sz w:val="18"/>
          <w:szCs w:val="18"/>
          <w:color w:val="auto"/>
        </w:rPr>
        <w:t>We also earn Contingents,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underwriting year, based upon the prior year(s) underwriting results, but may differ from the amount estimated and accrued due to the lack of complete visibility regarding loss information until it is received. Over the last three years, annual Contingents have averaged approximately 4.4% of total commissions and fee revenues.</w:t>
      </w:r>
    </w:p>
    <w:p>
      <w:pPr>
        <w:spacing w:after="0" w:line="79" w:lineRule="exact"/>
        <w:rPr>
          <w:sz w:val="20"/>
          <w:szCs w:val="20"/>
          <w:color w:val="auto"/>
        </w:rPr>
      </w:pPr>
    </w:p>
    <w:p>
      <w:pPr>
        <w:ind w:right="60" w:firstLine="499"/>
        <w:spacing w:after="0" w:line="256" w:lineRule="auto"/>
        <w:rPr>
          <w:sz w:val="20"/>
          <w:szCs w:val="20"/>
          <w:color w:val="auto"/>
        </w:rPr>
      </w:pPr>
      <w:r>
        <w:rPr>
          <w:rFonts w:ascii="Times New Roman" w:cs="Times New Roman" w:eastAsia="Times New Roman" w:hAnsi="Times New Roman"/>
          <w:sz w:val="18"/>
          <w:szCs w:val="18"/>
          <w:color w:val="auto"/>
        </w:rPr>
        <w:t>Fee revenues primarily relate to services other than securing coverage for our customers, and for fees negotiated in lieu of commissions. Fee revenues are generated by: (i) our Specialty Distribution segment, which earns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Annual fee revenues as a percentage of our total commissions and fees, represented 22.2% in 2025 and 21.1% in 2024.</w:t>
      </w:r>
    </w:p>
    <w:p>
      <w:pPr>
        <w:spacing w:after="0" w:line="79"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total commissions and fees growth rate was 35.7%. Our consolidated Organic Revenue growth rate was flat and our Organic Revenue with Contingents growth rate was 2.2%.</w:t>
      </w:r>
    </w:p>
    <w:p>
      <w:pPr>
        <w:spacing w:after="0" w:line="54"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ind w:right="220" w:firstLine="499"/>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three months ended March 31, 2026 increased from the first quarter of 2025 by $106 million or 24.8%, driven by increased Contingents, leveraging our expense base, acquisitions completed in the past twelve months and the change in mark-to-market of escrow liability. This growth was partially offset by Acquisition/Integration Costs and the change in estimated acquisition earn-out payables.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Organic Revenue with Contingents,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spacing w:after="0" w:line="86"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view Organic Revenue and Organic Revenue growth (including Organic Revenue with Contingents and its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jc w:val="both"/>
        <w:ind w:left="1020" w:hanging="503"/>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(iii) Foreign Currency Translation (as defined below) and (iv) the Litigation-Related Impact. The term “core commissions and fees” excludes Contingents; and therefore, represents the revenues earned directly from specific insurance policies sold and specific fee-based services rendered. Growth of Organic Revenue can be expressed as a dollar amount or a percentage rate.</w:t>
      </w:r>
    </w:p>
    <w:p>
      <w:pPr>
        <w:spacing w:after="0" w:line="71"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with Contingents </w:t>
      </w:r>
      <w:r>
        <w:rPr>
          <w:rFonts w:ascii="Times New Roman" w:cs="Times New Roman" w:eastAsia="Times New Roman" w:hAnsi="Times New Roman"/>
          <w:sz w:val="18"/>
          <w:szCs w:val="18"/>
          <w:color w:val="auto"/>
        </w:rPr>
        <w:t>is Organic Revenue plus Organic Contingents (as defined below). Growth of Organic Revenue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Contingents can be expressed as a dollar amount or a percentage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right="26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(as defined below), (ii)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mark-to-market of escrow liability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right="60" w:hanging="503"/>
        <w:spacing w:after="0" w:line="273"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“Acquisition/Integration Costs” </w:t>
      </w:r>
      <w:r>
        <w:rPr>
          <w:rFonts w:ascii="Times New Roman" w:cs="Times New Roman" w:eastAsia="Times New Roman" w:hAnsi="Times New Roman"/>
          <w:sz w:val="17"/>
          <w:szCs w:val="17"/>
          <w:color w:val="auto"/>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20" w:right="8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is a caption on our consolidated statements of income which reflects net proceeds received as compared to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 value related to sales of books of business and other divestiture transactions.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Mark-to-market of escrow liability</w:t>
      </w:r>
      <w:r>
        <w:rPr>
          <w:rFonts w:ascii="Times New Roman" w:cs="Times New Roman" w:eastAsia="Times New Roman" w:hAnsi="Times New Roman"/>
          <w:sz w:val="18"/>
          <w:szCs w:val="18"/>
          <w:color w:val="auto"/>
        </w:rPr>
        <w:t>” is a caption on our consolidated statements of income which reflects the non-cash change in the fair value associated with certain shares of the Company’s common stock held in escrow. The change is driven by fluctuations in our stock price between the beginning of the quarter and the end of the quarter.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spacing w:after="0" w:line="71" w:lineRule="exact"/>
        <w:rPr>
          <w:rFonts w:ascii="Times New Roman" w:cs="Times New Roman" w:eastAsia="Times New Roman" w:hAnsi="Times New Roman"/>
          <w:sz w:val="18"/>
          <w:szCs w:val="18"/>
          <w:color w:val="auto"/>
        </w:rPr>
      </w:pPr>
    </w:p>
    <w:p>
      <w:pPr>
        <w:jc w:val="both"/>
        <w:ind w:left="1020" w:right="26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Litigation-Related Impact</w:t>
      </w:r>
      <w:r>
        <w:rPr>
          <w:rFonts w:ascii="Times New Roman" w:cs="Times New Roman" w:eastAsia="Times New Roman" w:hAnsi="Times New Roman"/>
          <w:sz w:val="18"/>
          <w:szCs w:val="18"/>
          <w:color w:val="auto"/>
        </w:rPr>
        <w:t>” means the core commissions and fees attributable to (i) the loss of specifically identified customer accounts and (ii) new business generated in the prior year by certain former employees, in each case in connection with the conduct of a competitor that is the subject of pending litigation in multiple jurisdictions.</w:t>
      </w:r>
    </w:p>
    <w:p>
      <w:pPr>
        <w:spacing w:after="0" w:line="62" w:lineRule="exact"/>
        <w:rPr>
          <w:rFonts w:ascii="Times New Roman" w:cs="Times New Roman" w:eastAsia="Times New Roman" w:hAnsi="Times New Roman"/>
          <w:sz w:val="18"/>
          <w:szCs w:val="18"/>
          <w:color w:val="auto"/>
        </w:rPr>
      </w:pPr>
    </w:p>
    <w:p>
      <w:pPr>
        <w:ind w:left="1020" w:right="26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Organic Contingents</w:t>
      </w:r>
      <w:r>
        <w:rPr>
          <w:rFonts w:ascii="Times New Roman" w:cs="Times New Roman" w:eastAsia="Times New Roman" w:hAnsi="Times New Roman"/>
          <w:sz w:val="18"/>
          <w:szCs w:val="18"/>
          <w:color w:val="auto"/>
        </w:rPr>
        <w:t>” are Contingents, less (i) Contingents earned for the first twelve months by newly acquired stand-alone operations and (ii) Contingents earned from divested stand-alone operations (Contingents generated from stand-alone operations sold or terminated during the comparable period).</w:t>
      </w:r>
    </w:p>
    <w:p>
      <w:pPr>
        <w:spacing w:after="0" w:line="1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Part of our business strategy is to attract high-quality insurance intermediaries and service organizations to join our operations. From 1993 through the first quarter of 2026, we acquired 725 insurance intermediary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have had no changes to our Critical Accounting Policies as described in our most recent Form 10-K for the year ended December 31, 2025.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2025 for details regarding our critical and significant accounting policies.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21"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regarding results of operations and liquidity and capital resources should be considered in conjunction with the accompanying Condensed Consolidated Financial Statements and related Notes.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condensed consolidated financial results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82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4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4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expenses</w:t>
            </w: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458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8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with Contingents growth rate </w:t>
            </w:r>
            <w:r>
              <w:rPr>
                <w:rFonts w:ascii="Times New Roman" w:cs="Times New Roman" w:eastAsia="Times New Roman" w:hAnsi="Times New Roman"/>
                <w:sz w:val="24"/>
                <w:szCs w:val="24"/>
                <w:color w:val="auto"/>
                <w:vertAlign w:val="superscript"/>
              </w:rPr>
              <w:t>(2)</w:t>
            </w: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4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4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-2108200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-2108200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-1824990</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-1824990</wp:posOffset>
            </wp:positionV>
            <wp:extent cx="1111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-1542415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-1542415</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1903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121" w:lineRule="exact"/>
        <w:rPr>
          <w:sz w:val="20"/>
          <w:szCs w:val="20"/>
          <w:color w:val="auto"/>
        </w:rPr>
      </w:pPr>
    </w:p>
    <w:p>
      <w:pPr>
        <w:ind w:right="140" w:firstLine="494"/>
        <w:spacing w:after="0" w:line="254" w:lineRule="auto"/>
        <w:rPr>
          <w:sz w:val="20"/>
          <w:szCs w:val="20"/>
          <w:color w:val="auto"/>
        </w:rPr>
      </w:pPr>
      <w:r>
        <w:rPr>
          <w:rFonts w:ascii="Times New Roman" w:cs="Times New Roman" w:eastAsia="Times New Roman" w:hAnsi="Times New Roman"/>
          <w:sz w:val="18"/>
          <w:szCs w:val="18"/>
          <w:color w:val="auto"/>
        </w:rPr>
        <w:t>Commissions and fees, including Contingents and earned premiums, for the three months ended March 31, 2026 increased $495 million to $1,880 million, or 35.7%, over the same period in 2025. Core commissions and fees revenue for the first quarter of 2026 increased $441 million or 32.9%, composed of: (i) $435 million from acquisitions that had no comparable revenues in the same period of 2025; (ii) an increase from the impact of Foreign Currency Translation of $19 million and an offsetting decrease from (iii) $3 million related to commissions and fees revenue from businesses or books of business divested in the preceding twelve months and (iv) $10 million related to the Litigation-Related Impact. Contingents for the first quarter of 2026 increased by $54 million, or 126%, compared to the same period in 2025. This increase was driven primarily by (i) improved underwriting results for our carrier partners, growth in premium volume and qualifying for certain Contingents that we did not qualify for in the prior year and (ii) recent acquisitions. The Organic Revenue with Contingents growth rate was 2.2% driven by the increase in Organic Contingents.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121" w:lineRule="exact"/>
        <w:rPr>
          <w:sz w:val="20"/>
          <w:szCs w:val="20"/>
          <w:color w:val="auto"/>
        </w:rPr>
      </w:pPr>
    </w:p>
    <w:p>
      <w:pPr>
        <w:ind w:right="340" w:firstLine="494"/>
        <w:spacing w:after="0" w:line="266" w:lineRule="auto"/>
        <w:rPr>
          <w:sz w:val="20"/>
          <w:szCs w:val="20"/>
          <w:color w:val="auto"/>
        </w:rPr>
      </w:pPr>
      <w:r>
        <w:rPr>
          <w:rFonts w:ascii="Times New Roman" w:cs="Times New Roman" w:eastAsia="Times New Roman" w:hAnsi="Times New Roman"/>
          <w:sz w:val="18"/>
          <w:szCs w:val="18"/>
          <w:color w:val="auto"/>
        </w:rPr>
        <w:t>Investment and other income for the three months ended March 31, 2026 increased $2 million from the same period in 2025. The increase was driven primarily by acquisitions that had no comparable investment and other income in the same period of 2025, substantially offset by lower average interest rates as compared to the prior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121"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47.7% for the three months ended March 31, 2026 as compared to 48.6% for the three months ended March 31, 2025, an increase of 32.8%, or $224 million. This increase included $241 million of compensation costs related to acquisitions that had no comparable costs in the same period of 2025. Therefore, employee compensation and benefits expense attributable to those offices that existed in the same time periods of 2026 and 2025 decreased by $17 million. This underlying employee compensation and benefits expense decrease was primarily related to: (i) lower non-cash stock-based compensation expense driven by the company's performance; (ii) a decrease in claims costs within our self-insured health plan; (iii) a decrease in commissions, base compensation and bonuses driven by the Litigation-Related Impact; partially offset by (iv) an increase in staff costs attributable to new hires and annual compensation increases.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Other operating expenses represented 15.2% of total revenues for the first quarter of 2026, as compared to 13.2% for the first quarter of 2025. Other operating expenses for the first quarter of 2026 increased $103 million, or 55.4%, from the same period of 2025. This change includes: (i) $95 million of other operating expenses related to acquisitions that had no comparable costs in the same period of 2025; (ii) $26 million of Acquisition/Integration Costs associated with the Transaction, $20 million of which is included in the $95 million related to acquisitions that had no comparable costs in the same period of 2025; and (iii) increased information technology-related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(Gain)/Loss on Disposal</w:t>
      </w:r>
    </w:p>
    <w:p>
      <w:pPr>
        <w:spacing w:after="0" w:line="121" w:lineRule="exact"/>
        <w:rPr>
          <w:sz w:val="20"/>
          <w:szCs w:val="20"/>
          <w:color w:val="auto"/>
        </w:rPr>
      </w:pPr>
    </w:p>
    <w:p>
      <w:pPr>
        <w:ind w:right="320" w:firstLine="494"/>
        <w:spacing w:after="0" w:line="266" w:lineRule="auto"/>
        <w:rPr>
          <w:sz w:val="20"/>
          <w:szCs w:val="20"/>
          <w:color w:val="auto"/>
        </w:rPr>
      </w:pPr>
      <w:r>
        <w:rPr>
          <w:rFonts w:ascii="Times New Roman" w:cs="Times New Roman" w:eastAsia="Times New Roman" w:hAnsi="Times New Roman"/>
          <w:sz w:val="18"/>
          <w:szCs w:val="18"/>
          <w:color w:val="auto"/>
        </w:rPr>
        <w:t>Gain on disposal for the first quarter of 2026 increased $3 million from the first quarter of 2025.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Amortization expense for the first quarter of 2026 increased $63 million, or 118.9%, compared to the first quarter of 2025. This change reflects the amortization of new intangibles from businesses acquired within the past twelve months, net of certain intangible assets becoming fully amortized or written off in the (Gain)/Loss on disposal.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jc w:val="both"/>
        <w:ind w:right="320" w:firstLine="494"/>
        <w:spacing w:after="0" w:line="266" w:lineRule="auto"/>
        <w:rPr>
          <w:sz w:val="20"/>
          <w:szCs w:val="20"/>
          <w:color w:val="auto"/>
        </w:rPr>
      </w:pPr>
      <w:r>
        <w:rPr>
          <w:rFonts w:ascii="Times New Roman" w:cs="Times New Roman" w:eastAsia="Times New Roman" w:hAnsi="Times New Roman"/>
          <w:sz w:val="18"/>
          <w:szCs w:val="18"/>
          <w:color w:val="auto"/>
        </w:rPr>
        <w:t>Depreciation expense for the first quarter of 2026 increased $6 million, or 54.5%, compared to the first quarter of 2025.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Interest expense for the first quarter of 2026 increased $53 million, or 115.2%, compared to the first quarter of 2025. The increase is due to higher debt balances resulting from debt issuance in the second quarter of 2025 to fund the Transaction, which was partially offset by decreases in the floating rate benchmark used on our adjustable-rate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Estimated Acquisition Earn-Out Payables</w:t>
      </w:r>
    </w:p>
    <w:p>
      <w:pPr>
        <w:spacing w:after="0" w:line="121"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Accounting Standards Codification (“ASC”) Topic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81" w:lineRule="exact"/>
        <w:rPr>
          <w:sz w:val="20"/>
          <w:szCs w:val="20"/>
          <w:color w:val="auto"/>
        </w:rPr>
      </w:pPr>
    </w:p>
    <w:p>
      <w:pPr>
        <w:ind w:right="240" w:firstLine="494"/>
        <w:spacing w:after="0" w:line="282" w:lineRule="auto"/>
        <w:rPr>
          <w:sz w:val="20"/>
          <w:szCs w:val="20"/>
          <w:color w:val="auto"/>
        </w:rPr>
      </w:pPr>
      <w:r>
        <w:rPr>
          <w:rFonts w:ascii="Times New Roman" w:cs="Times New Roman" w:eastAsia="Times New Roman" w:hAnsi="Times New Roman"/>
          <w:sz w:val="18"/>
          <w:szCs w:val="18"/>
          <w:color w:val="auto"/>
        </w:rPr>
        <w:t>The net charge or credit to the Consolidated Statements of Income for the period is the combination of the net change in the estimated acquisition earn-out payables liability, and the accretion of the present value discount on those liabilities.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ind w:right="140" w:firstLine="494"/>
        <w:spacing w:after="0" w:line="254" w:lineRule="auto"/>
        <w:rPr>
          <w:sz w:val="20"/>
          <w:szCs w:val="20"/>
          <w:color w:val="auto"/>
        </w:rPr>
      </w:pPr>
      <w:r>
        <w:rPr>
          <w:rFonts w:ascii="Times New Roman" w:cs="Times New Roman" w:eastAsia="Times New Roman" w:hAnsi="Times New Roman"/>
          <w:sz w:val="18"/>
          <w:szCs w:val="18"/>
          <w:color w:val="auto"/>
        </w:rPr>
        <w:t>As of March 31, 2026 and 2025, the fair values of the estimated acquisition earn-out payables were re-evaluated based upon projected operating results and measured at fair value on a recurring basis using unobservable inputs (Level 3) as defined in ASC 820-</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net changes, as well as the interest expense accretion on the estimated acquisition earn-out payables were as follows:</w:t>
      </w:r>
    </w:p>
    <w:tbl>
      <w:tblPr>
        <w:tblLayout w:type="fixed"/>
        <w:tblInd w:w="0" w:type="dxa"/>
        <w:tblCellMar>
          <w:top w:w="0" w:type="dxa"/>
          <w:left w:w="0" w:type="dxa"/>
          <w:bottom w:w="0" w:type="dxa"/>
          <w:right w:w="0" w:type="dxa"/>
        </w:tblCellMar>
      </w:tblPr>
      <w:tr>
        <w:trPr>
          <w:trHeight w:val="158"/>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6"/>
          </w:tcPr>
          <w:p>
            <w:pPr>
              <w:jc w:val="right"/>
              <w:ind w:right="82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1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40" w:firstLine="494"/>
        <w:spacing w:after="0" w:line="282" w:lineRule="auto"/>
        <w:rPr>
          <w:sz w:val="20"/>
          <w:szCs w:val="20"/>
          <w:color w:val="auto"/>
        </w:rPr>
      </w:pPr>
      <w:r>
        <w:rPr>
          <w:rFonts w:ascii="Times New Roman" w:cs="Times New Roman" w:eastAsia="Times New Roman" w:hAnsi="Times New Roman"/>
          <w:sz w:val="18"/>
          <w:szCs w:val="18"/>
          <w:color w:val="auto"/>
        </w:rPr>
        <w:t>For the three months and three months ended March 31, 2026, the fair value of estimated earn-out payables was re-evaluated and resulted in decreases of $1 million and $6 million, respectively, which resulted in credits to the Condensed Consolidated Statements of Income.</w:t>
      </w:r>
    </w:p>
    <w:p>
      <w:pPr>
        <w:spacing w:after="0" w:line="54" w:lineRule="exact"/>
        <w:rPr>
          <w:sz w:val="20"/>
          <w:szCs w:val="20"/>
          <w:color w:val="auto"/>
        </w:rPr>
      </w:pPr>
    </w:p>
    <w:p>
      <w:pPr>
        <w:ind w:right="240" w:firstLine="494"/>
        <w:spacing w:after="0" w:line="282" w:lineRule="auto"/>
        <w:rPr>
          <w:sz w:val="20"/>
          <w:szCs w:val="20"/>
          <w:color w:val="auto"/>
        </w:rPr>
      </w:pPr>
      <w:r>
        <w:rPr>
          <w:rFonts w:ascii="Times New Roman" w:cs="Times New Roman" w:eastAsia="Times New Roman" w:hAnsi="Times New Roman"/>
          <w:sz w:val="18"/>
          <w:szCs w:val="18"/>
          <w:color w:val="auto"/>
        </w:rPr>
        <w:t>As of March 31, 2026, estimated acquisition earn-out payables totaled $393 million, of which $193 million was recorded as accounts payable and $200 million was recorded as other non-current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60" w:firstLine="494"/>
        <w:spacing w:after="0" w:line="282" w:lineRule="auto"/>
        <w:rPr>
          <w:sz w:val="20"/>
          <w:szCs w:val="20"/>
          <w:color w:val="auto"/>
        </w:rPr>
      </w:pPr>
      <w:r>
        <w:rPr>
          <w:rFonts w:ascii="Times New Roman" w:cs="Times New Roman" w:eastAsia="Times New Roman" w:hAnsi="Times New Roman"/>
          <w:sz w:val="18"/>
          <w:szCs w:val="18"/>
          <w:color w:val="auto"/>
        </w:rPr>
        <w:t>The effective tax rate on income from operations for the three months ended March 31, 2026 and 2025 was 19.9% and 21.8%, respectively. The decrease for the three months ended March 31, 2026 was primarily driven by the non-taxable treatment of the mark-to-market of escrow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As discussed in Note 12 to the Condensed Consolidated Financial Statements, we operate two reportable segments: Retail and Specialty Distribution. On a segmented basis, changes in amortization, depreciation and interest expenses generally result from activity associated with acquisitions. Likewise, other income consists primarily of miscellaneous income; and therefore, it can fluctuate between comparable periods. As such, management primarily focuses on Organic Revenue growth, the growth in Contingents and EBITDAC Margin when evaluating the operational efficiency of a segment.</w:t>
      </w:r>
    </w:p>
    <w:p>
      <w:pPr>
        <w:spacing w:after="0" w:line="72" w:lineRule="exact"/>
        <w:rPr>
          <w:sz w:val="20"/>
          <w:szCs w:val="20"/>
          <w:color w:val="auto"/>
        </w:rPr>
      </w:pPr>
    </w:p>
    <w:p>
      <w:pPr>
        <w:ind w:right="30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three months ended March 31, 2026 and 2025, and the growth rates for Organic Revenue and Organic Revenue with Contingents for the three months ended March 31, 2026, including by segment,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1,880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33.1%</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40.7%</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35.7%</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Contingents</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(67)</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3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1,783</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(165)</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55"/>
        </w:trPr>
        <w:tc>
          <w:tcPr>
            <w:tcW w:w="3080" w:type="dxa"/>
            <w:vAlign w:val="bottom"/>
            <w:tcBorders>
              <w:top w:val="single" w:sz="8" w:color="CFF0FC"/>
            </w:tcBorders>
            <w:gridSpan w:val="2"/>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903</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894</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445</w:t>
            </w:r>
          </w:p>
        </w:tc>
        <w:tc>
          <w:tcPr>
            <w:tcW w:w="3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1,348</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1,348</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8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0.0%</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40" w:type="dxa"/>
            <w:vAlign w:val="bottom"/>
          </w:tcPr>
          <w:p>
            <w:pPr>
              <w:spacing w:after="0"/>
              <w:rPr>
                <w:sz w:val="17"/>
                <w:szCs w:val="17"/>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1,422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3.9%</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-1165225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-1165225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-1165225</wp:posOffset>
            </wp:positionV>
            <wp:extent cx="1460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-1165225</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the Notes to the Condensed Consolidated Financial Statements, which includes corporate and consolidation items.</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right="480" w:firstLine="629"/>
        <w:spacing w:after="0" w:line="261"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three months ended March 31, 2025 and 2024, including by segment, and the growth rates for Organic Revenue and Organic Revenue with Contingents for the three months ended March 31, 2025, including by segment,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1,385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78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1,342</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gridSpan w:val="2"/>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24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818</w:t>
            </w:r>
          </w:p>
        </w:tc>
        <w:tc>
          <w:tcPr>
            <w:tcW w:w="220" w:type="dxa"/>
            <w:vAlign w:val="bottom"/>
          </w:tcPr>
          <w:p>
            <w:pPr>
              <w:spacing w:after="0"/>
              <w:rPr>
                <w:sz w:val="13"/>
                <w:szCs w:val="13"/>
                <w:color w:val="auto"/>
              </w:rPr>
            </w:pPr>
          </w:p>
        </w:tc>
        <w:tc>
          <w:tcPr>
            <w:tcW w:w="280" w:type="dxa"/>
            <w:vAlign w:val="bottom"/>
            <w:gridSpan w:val="2"/>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3"/>
                <w:szCs w:val="13"/>
                <w:color w:val="auto"/>
              </w:rPr>
            </w:pPr>
          </w:p>
        </w:tc>
        <w:tc>
          <w:tcPr>
            <w:tcW w:w="340" w:type="dxa"/>
            <w:vAlign w:val="bottom"/>
            <w:gridSpan w:val="2"/>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445</w:t>
            </w:r>
          </w:p>
        </w:tc>
        <w:tc>
          <w:tcPr>
            <w:tcW w:w="220" w:type="dxa"/>
            <w:vAlign w:val="bottom"/>
          </w:tcPr>
          <w:p>
            <w:pPr>
              <w:spacing w:after="0"/>
              <w:rPr>
                <w:sz w:val="13"/>
                <w:szCs w:val="13"/>
                <w:color w:val="auto"/>
              </w:rPr>
            </w:pPr>
          </w:p>
        </w:tc>
        <w:tc>
          <w:tcPr>
            <w:tcW w:w="780" w:type="dxa"/>
            <w:vAlign w:val="bottom"/>
            <w:gridSpan w:val="2"/>
          </w:tcPr>
          <w:p>
            <w:pPr>
              <w:jc w:val="right"/>
              <w:ind w:right="5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3"/>
                <w:szCs w:val="13"/>
                <w:color w:val="auto"/>
              </w:rPr>
            </w:pPr>
          </w:p>
        </w:tc>
        <w:tc>
          <w:tcPr>
            <w:tcW w:w="860" w:type="dxa"/>
            <w:vAlign w:val="bottom"/>
            <w:gridSpan w:val="2"/>
          </w:tcPr>
          <w:p>
            <w:pPr>
              <w:jc w:val="right"/>
              <w:ind w:right="619"/>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1,263</w:t>
            </w:r>
          </w:p>
        </w:tc>
        <w:tc>
          <w:tcPr>
            <w:tcW w:w="2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2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2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11.3%</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6.5%</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FF0FC"/>
          </w:tcPr>
          <w:p>
            <w:pPr>
              <w:spacing w:after="0"/>
              <w:rPr>
                <w:sz w:val="17"/>
                <w:szCs w:val="17"/>
                <w:color w:val="auto"/>
              </w:rPr>
            </w:pPr>
          </w:p>
        </w:tc>
        <w:tc>
          <w:tcPr>
            <w:tcW w:w="2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78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1,305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9.7%</w:t>
            </w:r>
          </w:p>
        </w:tc>
        <w:tc>
          <w:tcPr>
            <w:tcW w:w="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5.9%</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-1165225</wp:posOffset>
            </wp:positionV>
            <wp:extent cx="111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-1165225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-1165225</wp:posOffset>
            </wp:positionV>
            <wp:extent cx="111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-1165225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-1165225</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0" w:firstLine="8"/>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the Notes to the Condensed Consolidated Financial Statements, which includes corporate and consolidation items.</w:t>
      </w: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March 31, 2026, including by segment,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9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-2000885</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-2000885</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-2000885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-2000885</wp:posOffset>
            </wp:positionV>
            <wp:extent cx="1117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-1040765</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-1040765</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-1040765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-1040765</wp:posOffset>
            </wp:positionV>
            <wp:extent cx="111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March 31, 2025, including by segment,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8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28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-2000885</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-2000885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-2000885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-2000885</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-1040765</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-1040765</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-1040765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-1040765</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Retail segment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7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82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2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7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vMerge w:val="continue"/>
            <w:shd w:val="clear" w:color="auto" w:fill="CFF0FC"/>
          </w:tcPr>
          <w:p>
            <w:pPr>
              <w:spacing w:after="0"/>
              <w:rPr>
                <w:sz w:val="19"/>
                <w:szCs w:val="19"/>
                <w:color w:val="auto"/>
              </w:rPr>
            </w:pP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expenses</w:t>
            </w:r>
          </w:p>
        </w:tc>
        <w:tc>
          <w:tcPr>
            <w:tcW w:w="7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58"/>
        </w:trPr>
        <w:tc>
          <w:tcPr>
            <w:tcW w:w="430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82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430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with Contingents growth rate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7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7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1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-1688465</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-1688465</wp:posOffset>
            </wp:positionV>
            <wp:extent cx="1111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-1397000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-1379220</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-1397000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-1379220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9030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Retail segment’s total revenues for the three months ended March 31, 2026 increased 33.4%, or $303 million, as compared to the same period in 2025, to $1,210 million. The $282 million increase in core commissions and fees revenue was driven by: (i) approximately $270 million related to the core commissions and fees revenue from acquisitions that had no comparable revenues in the same period of 2025; (ii) an increase of $9 million related to net new and renewal business; (iii) an increase from the impact of Foreign Currency Translation of $15 million; (iv) an offsetting decrease of $1 million related to commissions and fees recorded in 2025 from businesses since divested; and (v) an offsetting decrease of $10 million related to the Litigation-Related Impact. Contingents for the first quarter of 2026 increased $16 million to $30 million, as compared to the same period in 2025. This increase was due to acquisitions completed within the last twelve months. The Retail segment’s total commissions and fees increased by 32.9%. The Organic Revenue growth rate was 1.0% and the Organic Revenue with Contingents growth rate was 1.3% for the first quarter of 2026. The Organic Revenue growth rate was driven by net new business written during the preceding twelve months and growth on renewals of existing customers. Growth for renewal business was moderated by slowing rate increases, rate decreases for certain lines of coverage, and a change to the revenue model in our specialty pharmacy consulting business.</w:t>
      </w:r>
    </w:p>
    <w:p>
      <w:pPr>
        <w:spacing w:after="0" w:line="84"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three months ended March 31, 2026 increased 11.6%, or $33 million, as compared to the same period in 2025, to $317 million. The primary factors driving this increase were: (i) a decrease in intercompany interest expense and (ii) the profit associated with the net increase in revenue as described above, partially offset by (iii) an increase in estimated acquisition earn-out payables, (iv) an increase in amortization expense; and (v) Acquisition/Integration Costs.</w:t>
      </w:r>
    </w:p>
    <w:p>
      <w:pPr>
        <w:spacing w:after="0" w:line="72"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EBITDAC - Adjusted for the three months ended March 31, 2026 increased 29.0%, or $98 million, as compared to the same period in 2025, to $436 million. EBITDAC Margin - Adjusted for the three months ended March 31, 2026 decreased to 36.0% from 37.3% in the same period in 2025. The decrease in EBITDAC Margin - Adjusted was primarily driven by:(i) the timing of revenues and profit associated with certain recent acquisitions which was partially offset by; (ii) leveraging our expense base; and (ii) lower compensation as a result of teammate defections associated with our pending litigation with a start-up US broker.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Specialty Distribution Segment</w:t>
      </w:r>
    </w:p>
    <w:p>
      <w:pPr>
        <w:spacing w:after="0" w:line="121" w:lineRule="exact"/>
        <w:rPr>
          <w:sz w:val="20"/>
          <w:szCs w:val="20"/>
          <w:color w:val="auto"/>
        </w:rPr>
      </w:pPr>
    </w:p>
    <w:p>
      <w:pPr>
        <w:ind w:right="740" w:firstLine="494"/>
        <w:spacing w:after="0" w:line="282" w:lineRule="auto"/>
        <w:rPr>
          <w:sz w:val="20"/>
          <w:szCs w:val="20"/>
          <w:color w:val="auto"/>
        </w:rPr>
      </w:pPr>
      <w:r>
        <w:rPr>
          <w:rFonts w:ascii="Times New Roman" w:cs="Times New Roman" w:eastAsia="Times New Roman" w:hAnsi="Times New Roman"/>
          <w:sz w:val="18"/>
          <w:szCs w:val="18"/>
          <w:color w:val="auto"/>
        </w:rPr>
        <w:t>The Specialty Distribution Segment is composed of three divisions; our programs business, known as Arrowhead Programs; our wholesale brokerage business, known as Bridge Specialty Group; and our specialty program business, known as Arrowhead Specialty</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Arrowhead Programs manages a diverse portfolio of professional liability, personal lines, commercial lines, public entity and specialty programs supported by over 100 well-capitalized insurance carriers. In most cases, the insurance carriers that support these programs have delegated underwriting and, in many instances, claims-handling authority. These programs are generally distributed through a global network of independent agents and brokers, including Brown &amp; Brown retail agents, and offer targeted products and services designed for businesses, individuals, specific industries, trade groups, professions, public entities, municipalities, and niche markets. This division also operates our write-your-own flood insurance carrier, WNFIC and participates in a quota share captive and an excess of loss layer captive. WNFIC’s underwriting business consists of policies written on behalf of and fully ceded to the NFIP, as well as excess flood policies, which are fully reinsured in the private market.</w:t>
      </w:r>
    </w:p>
    <w:p>
      <w:pPr>
        <w:spacing w:after="0" w:line="81"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Bridge Specialty Group offers global wholesale brokerage and delegated binding/underwriting capabilities across multiple lines, to independent agents and brokers, including Brown &amp; Brown retail agents. Our teams across the globe provide industry knowledge and expertise, for placements across multiple lines of coverage based on access to admitted, excess and surplus lines carriers, as well as the Lloyd’s markets in the United Kingdom.</w:t>
      </w:r>
    </w:p>
    <w:p>
      <w:pPr>
        <w:spacing w:after="0" w:line="68"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Arrowhead Specialty offers solutions across affinity organizations, administrative services, captives, reinsurance, travel/accident, warranty, and life &amp; health.</w:t>
      </w:r>
    </w:p>
    <w:p>
      <w:pPr>
        <w:spacing w:after="0" w:line="54"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Arrowhead Programs' and Arrowhead Specialty's captives businesses provide additional underwriting capacity that enables growth in core commissions and fees and allow us to participate in underwriting results with limited exposure to claims expenses. The Company has traditionally participated in underwriting profits through Contingents. These captives purchase reinsurance or participate in limited tranches of the underwriting risk in order to limit the Company's exposure to claims expenses.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Approximately 81% of the Specialty Distribution segment’s commissions and fees revenue is commission based.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Specialty Distribution segment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80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0"/>
        </w:trPr>
        <w:tc>
          <w:tcPr>
            <w:tcW w:w="43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expenses</w:t>
            </w:r>
          </w:p>
        </w:tc>
        <w:tc>
          <w:tcPr>
            <w:tcW w:w="6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Borders>
              <w:top w:val="single" w:sz="8" w:color="CFF0FC"/>
            </w:tcBorders>
          </w:tcPr>
          <w:p>
            <w:pPr>
              <w:spacing w:after="0"/>
              <w:rPr>
                <w:sz w:val="18"/>
                <w:szCs w:val="18"/>
                <w:color w:val="auto"/>
              </w:rPr>
            </w:pPr>
          </w:p>
        </w:tc>
        <w:tc>
          <w:tcPr>
            <w:tcW w:w="20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5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58"/>
        </w:trPr>
        <w:tc>
          <w:tcPr>
            <w:tcW w:w="430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68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180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430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1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with Contingents growth rate </w:t>
            </w:r>
            <w:r>
              <w:rPr>
                <w:rFonts w:ascii="Times New Roman" w:cs="Times New Roman" w:eastAsia="Times New Roman" w:hAnsi="Times New Roman"/>
                <w:sz w:val="24"/>
                <w:szCs w:val="24"/>
                <w:color w:val="auto"/>
                <w:vertAlign w:val="superscript"/>
              </w:rPr>
              <w:t>(2)</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-2596515</wp:posOffset>
            </wp:positionV>
            <wp:extent cx="1460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-2596515</wp:posOffset>
            </wp:positionV>
            <wp:extent cx="1111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-2305050</wp:posOffset>
            </wp:positionV>
            <wp:extent cx="146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-2287905</wp:posOffset>
            </wp:positionV>
            <wp:extent cx="1460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-2305050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-2287905</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1903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03095" cy="8255"/>
                    </a:xfrm>
                    <a:prstGeom prst="rect">
                      <a:avLst/>
                    </a:prstGeom>
                    <a:noFill/>
                  </pic:spPr>
                </pic:pic>
              </a:graphicData>
            </a:graphic>
          </wp:anchor>
        </w:drawing>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 Specialty Distribution segment’s total revenues for the three months ended March 31, 2026 increased 40.0%, or $195 million, as compared to the same period in 2025, to $682 million. The $158 million increase in core commissions and fees revenue was driven by: (i) approximately $165 million related to the core commissions and fees revenue from acquisitions that had no comparable revenues in the same period of 2025; and (ii) an increase from the impact of Foreign Currency Translation of $4 million; partially offset by: (iii) a $9 million decrease in net new business, renewal business, and fee revenues; and (iv) a $2 million decline in core commission and fees revenue from dispositions that had no comparable revenues in the same period of 2026. Contingents for the first quarter of 2026 increased approximately $38 million as compared to the first quarter of 2025. This increase is a result of favorable loss ratios, increased premiums, and to a lesser extent acquisitions completed in the past twelve months. The Organic Revenue with Contingents growth rate was 3.9% driven by the increase in Organic Contingents.</w:t>
      </w:r>
    </w:p>
    <w:p>
      <w:pPr>
        <w:spacing w:after="0" w:line="84"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The Specialty Distribution segment’s total commissions and fees increased by 40.7%, with Organic Revenue decreasing 2.0% and Organic Revenue with Contingents increasing 3.9% for the three months ended March 31, 2026. The Organic Revenue with Contingents growth rate was driven by: (i) increased Contingents; (ii) net new and retained business; (iii) and exposure unit expansion; partially offset by (iv) declining rates on catastrophe ("CAT") property.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three months ended March 31, 2026 increased 33.1%, or $55 million, as compared to the same period in 2025, to $221 million due to: (i) the growth of EBITDAC – Adjusted described below; (ii) a decrease in estimated acquisition earn-out payables; partially offset by: (iii) increased amortization expense; and (iv) Acquisition/Integration Costs.</w:t>
      </w:r>
    </w:p>
    <w:p>
      <w:pPr>
        <w:spacing w:after="0" w:line="68"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three months ended March 31, 2026 increased 41.1%, or $81 million, from the same period in 2025, to $278 million. EBITDAC Margin - Adjusted for the three months ended March 31, 2026 increased to 40.8% from 40.5% in the same period in 2025. EBITDAC Margin - Adjusted increased due to: (i) the increase in Contingents (ii) the timing of revenues associated with recent acquisitions; and (iii) disciplined expense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As discussed in Note 12 of the Notes to Condensed Consolidated Financial Statements, the “Other” line items in the Segment Information table includes any revenue and expenses not allocated to reportable segments, and corporate-related items, including the intercompany interest expense charges to reporting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Second Amended and Restated Credit Agreement (the “Second Amended and Restated Credit Agreement”), which as of March 31, 2026 provided additional capacity for up to $475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dated March 31, 2022, which provided term loan capacity of $800 million (the “Loan Agreement”), will be sufficient to satisfy its normal liquidity needs, including principal payments on our long-term debt, for the next twelve months and in the long term.</w:t>
      </w:r>
    </w:p>
    <w:p>
      <w:pPr>
        <w:spacing w:after="0" w:line="80"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$1,375 million of incremental borrowing capacity as of March 31, 2026.</w:t>
      </w:r>
    </w:p>
    <w:p>
      <w:pPr>
        <w:spacing w:after="0" w:line="75" w:lineRule="exact"/>
        <w:rPr>
          <w:sz w:val="20"/>
          <w:szCs w:val="20"/>
          <w:color w:val="auto"/>
        </w:rPr>
      </w:pPr>
    </w:p>
    <w:p>
      <w:pPr>
        <w:ind w:right="300" w:firstLine="494"/>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$1,003 million at March 31, 2026 reflecting a decrease of $76 million from the $1,079 million balance at December 31, 2025. This decrease is primarily due to the payment of annual bonus compensation and deferred contingent consideration paid during the quarter offset by our cash generated.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2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derived from the net income generated during the period adjusted for non-cash expenses, which include depreciation, amortization, changes in estimated earnout payables, mark-to-market escrow liability non-cash stock-based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was 1.02 and 1.04 for March 31, 2026 and December 31, 2025, respectively.</w:t>
      </w:r>
    </w:p>
    <w:p>
      <w:pPr>
        <w:spacing w:after="0" w:line="79" w:lineRule="exact"/>
        <w:rPr>
          <w:sz w:val="20"/>
          <w:szCs w:val="20"/>
          <w:color w:val="auto"/>
        </w:rPr>
      </w:pPr>
    </w:p>
    <w:p>
      <w:pPr>
        <w:jc w:val="both"/>
        <w:ind w:right="680" w:firstLine="494"/>
        <w:spacing w:after="0" w:line="261" w:lineRule="auto"/>
        <w:rPr>
          <w:sz w:val="20"/>
          <w:szCs w:val="20"/>
          <w:color w:val="auto"/>
        </w:rPr>
      </w:pPr>
      <w:r>
        <w:rPr>
          <w:rFonts w:ascii="Times New Roman" w:cs="Times New Roman" w:eastAsia="Times New Roman" w:hAnsi="Times New Roman"/>
          <w:sz w:val="18"/>
          <w:szCs w:val="18"/>
          <w:color w:val="auto"/>
        </w:rPr>
        <w:t>Cash flows generated from operating activities totaled $262 million and $213 million for the three months ended March 31, 2026 and 2025, respectively, representing an increase of $49 million. Operating cash flows generated in 2026 included $427 million from net income before non-controlling interests with $167 million of non-cash adjustments, offset by $332 million from changes in working capital. The growth in cash from operations is primarily due to recent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21" w:lineRule="exact"/>
        <w:rPr>
          <w:sz w:val="20"/>
          <w:szCs w:val="20"/>
          <w:color w:val="auto"/>
        </w:rPr>
      </w:pPr>
    </w:p>
    <w:p>
      <w:pPr>
        <w:ind w:right="440" w:firstLine="494"/>
        <w:spacing w:after="0" w:line="282" w:lineRule="auto"/>
        <w:rPr>
          <w:sz w:val="20"/>
          <w:szCs w:val="20"/>
          <w:color w:val="auto"/>
        </w:rPr>
      </w:pPr>
      <w:r>
        <w:rPr>
          <w:rFonts w:ascii="Times New Roman" w:cs="Times New Roman" w:eastAsia="Times New Roman" w:hAnsi="Times New Roman"/>
          <w:sz w:val="18"/>
          <w:szCs w:val="18"/>
          <w:color w:val="auto"/>
        </w:rPr>
        <w:t>Cash flows used for investing activities were $38 million and $79 million for the three months ended March 31, 2026 and 2025, respectively, a decrease of $41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completed eight acquisitions (including book purchases) and paid $17 million, net of cash, and cash and cash equivalents held in a fiduciary capacity acquired. Net cash paid for acquisitions decreased $50 million in the three months ended March 31, 2026, down from $67 million during the same period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The Company received minimal cash proceeds from the sale of businesses, fixed assets and customer accounts during the three months ended March 31, 2026, compared to $9 million proceeds received in the same period in 2025. The decrease is attributed to smaller sales of businesses in the current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Capital expenditures amounted to $21 million and $17 million in the three months ended March 31, 2026 and 2025, respectively, and included purchases of furniture and fixtures, leasehold improvements related to office moves and hardware and software purchases related to information technology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21"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Net cash flows used by financing activities totaled $354 million and $218 million in the three months ended March 31, 2026 and 2025, respectively, an increase of $136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Receivables and Liabilities</w:t>
      </w:r>
    </w:p>
    <w:p>
      <w:pPr>
        <w:spacing w:after="0" w:line="119"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 decrease of $76 million and $90 million in the three months ended March 31, 2026 and 2025, respectively, related to fiduciary receivables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Earn-outs</w:t>
      </w:r>
    </w:p>
    <w:p>
      <w:pPr>
        <w:spacing w:after="0" w:line="119"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Payments on acquisition earn-outs related to the original acquisition date estimates totaled $150 million and $26 million in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paid cash dividends of $57 million and $43 million, respectively, an increase of $14 million, or 32.6%. On April 27, 2026, the board of directors approved a quarterly cash dividend of $0.165 per share to be paid on May 20,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Net cash proceeds from long term debt totaled $206 million in the three months ended March 31, 2026, compared to net cash use of $19 million in the same period of 2025.</w:t>
      </w:r>
    </w:p>
    <w:p>
      <w:pPr>
        <w:spacing w:after="0" w:line="54"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Total debt at March 31, 2026 was $7,822 million net of unamortized discount and debt issuance costs, which was an increase of $209 million compared to December 31, 2025. The increase includes the drawdown of $225 million on the Revolving Credit Facility and the amortization of discounted debt related to our various unsecured senior notes and debt issuance cost amortization of $3 million, offset by $19 million of payments on outstanding term loan balances.</w:t>
      </w:r>
    </w:p>
    <w:p>
      <w:pPr>
        <w:spacing w:after="0" w:line="72" w:lineRule="exact"/>
        <w:rPr>
          <w:sz w:val="20"/>
          <w:szCs w:val="20"/>
          <w:color w:val="auto"/>
        </w:rPr>
      </w:pPr>
    </w:p>
    <w:p>
      <w:pPr>
        <w:ind w:right="20" w:firstLine="494"/>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the Company repaid $6 million of principal related to the Second Amended and Restated Credit Agreement term loan through the quarterly scheduled principal payments. The Second Amended and Restated Credit Agreement term loan had an outstanding balance of $163 million as of March 31, 2026. The Company's next scheduled principal payment is due in June 2026 and is equal to $6 million.</w:t>
      </w:r>
    </w:p>
    <w:p>
      <w:pPr>
        <w:spacing w:after="0" w:line="50"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repaid $13 million of principal related to the Term Loans issued under the Term A-2 Loan Commitment (“Term A-2 Loans”) through quarterly scheduled principal payments. The Term A-2 Loans had an outstanding balance of $350 million as of March 31, 2026. The Company’s next scheduled principal payment is $13 million due in June 2026.</w:t>
      </w:r>
    </w:p>
    <w:p>
      <w:pPr>
        <w:spacing w:after="0" w:line="68"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During the first quarter, the Company drew $225 million on the Revolving Credit Facility in connection with a share repurchase program. There is an outstanding balance of $325 million on the Revolving Credit Facility as of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On February 12, 2026, the Company entered into accelerated share repurchase agreement ("ASR") with an investment bank to purchase an aggregate $250 million of the Company's common stock. The program ended on March 9, 2026 and during the period, the Company received a total of 3,574,890 shares of the Company's common stock. At March 31, 2026, the remaining amount authorized by our board of directors for share repurchases was approximately $1,150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our contractual cash obligations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Maximum future acquisition contingent payments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24"/>
                <w:szCs w:val="24"/>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640" w:right="20" w:hanging="377"/>
        <w:spacing w:after="0" w:line="254"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escrow liability which is included within “Other Long-Term Liabilities” issued in connection with the Transaction. The liability reflects the fair value of shares and cash held in escrow to secure certain indemnification obligations of the Accession equityholders related to businesses that are in run-off or discontinued. Once all claims related to certain indemnification matters described in the Merger Agreement are resolved, the remaining amount in the escrow account will be released to the equityholders. The Company believes this escrow, plus other available funds, is sufficient to cover any potential costs associated with those specified matters subject to indemnification under the Merger Agreement. The fair value of the escrow liability is remeasured at each reporting date, with changes recognized in earnings. The timing and amount of any future settlement remains subject to the achievement of contractual milestones and may vary from the amounts disclosed. The value as of March 31, 2026, was $552 million.</w:t>
      </w:r>
    </w:p>
    <w:p>
      <w:pPr>
        <w:spacing w:after="0" w:line="29" w:lineRule="exact"/>
        <w:rPr>
          <w:rFonts w:ascii="Times New Roman" w:cs="Times New Roman" w:eastAsia="Times New Roman" w:hAnsi="Times New Roman"/>
          <w:sz w:val="18"/>
          <w:szCs w:val="18"/>
          <w:color w:val="auto"/>
        </w:rPr>
      </w:pPr>
    </w:p>
    <w:p>
      <w:pPr>
        <w:ind w:left="640" w:right="20" w:hanging="377"/>
        <w:spacing w:after="0" w:line="26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$393 million of current and non-current estimated acquisition earn-out payables. Earn-out payables for acquisitions not denominated in U.S. dollars are measured at the current foreign exchange rate. Certain acquisition agreements include provisions with no maximum potential earn-out amount. The amount recorded for these acquisitions as of March 31, 2026 is $248 million.</w:t>
      </w:r>
    </w:p>
    <w:p>
      <w:pPr>
        <w:spacing w:after="0" w:line="13" w:lineRule="exact"/>
        <w:rPr>
          <w:rFonts w:ascii="Times New Roman" w:cs="Times New Roman" w:eastAsia="Times New Roman" w:hAnsi="Times New Roman"/>
          <w:sz w:val="18"/>
          <w:szCs w:val="18"/>
          <w:color w:val="auto"/>
        </w:rPr>
      </w:pPr>
    </w:p>
    <w:p>
      <w:pPr>
        <w:ind w:left="640" w:right="40" w:hanging="377"/>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approximately $56 million of current liability for a dividend of $0.1650 per share approved by the board of directors on April 27, 2026 to be paid on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4"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Our invested assets are held primarily as cash and cash equivalents, restricted cash, available-for-sale marketable debt securities, non-marketable debt securities, certificates of deposit, U.S. Treasury securities, and professionally managed short duration fixed income funds. These investments are subject to interest rate risk. The fair value of our invested assets at March 31, 2026 and December 31, 2025 approximated their respective carrying values due to their short-term duration and therefore, such market risk is not considered to be material.</w:t>
      </w:r>
    </w:p>
    <w:p>
      <w:pPr>
        <w:spacing w:after="0" w:line="72"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We do not actively invest or trade in equity securities. In addition, we generally dispose of any significant equity securities received in conjunction with an acquisition shortly after the acquisition date.</w:t>
      </w:r>
    </w:p>
    <w:p>
      <w:pPr>
        <w:spacing w:after="0" w:line="54"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As of March 31, 2026, we had $838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w:t>
      </w:r>
    </w:p>
    <w:p>
      <w:pPr>
        <w:spacing w:after="0" w:line="72"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majority of our international operations do not have material transactions in currencies other than their functional currency which would expose the Company to transactional currency rate risk. We are subject to translation exchange rate risk having businesses operating outside of the U.S. in the following functional currencies, British pounds, Canadian dollar, euros and, to a lesser extent, other currencies. Based upon our foreign currency rate exposure as of March 31, 2026, an immediate 10% hypothetical change of foreign currency exchange rates would not have a material effect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March 31, 2026.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identified in connection with the Evaluation that occurred during the quarter ended March 31, 2026,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8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20" w:firstLine="499"/>
        <w:spacing w:after="0" w:line="261" w:lineRule="auto"/>
        <w:rPr>
          <w:sz w:val="20"/>
          <w:szCs w:val="20"/>
          <w:color w:val="auto"/>
        </w:rPr>
      </w:pPr>
      <w:r>
        <w:rPr>
          <w:rFonts w:ascii="Times New Roman" w:cs="Times New Roman" w:eastAsia="Times New Roman" w:hAnsi="Times New Roman"/>
          <w:sz w:val="18"/>
          <w:szCs w:val="18"/>
          <w:color w:val="auto"/>
        </w:rPr>
        <w:t>In Item 3 of Part I of the Company’s Annual Report on Form 10-K for its fiscal year ended December 31, 2025, certain information concerning litigation claims arising in the ordinary course of business was disclosed. Such information was current as of the date of filing. During the Company’s fiscal quarter ended March 31, 2026, no new legal proceedings, or material developments with respect to existing legal proceedings, occurred which require disclosure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99"/>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risk factors previously disclosed in Item 1A, “Risk Factors” of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of shares of our common stock during the three months ended March 31,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6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8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480" w:type="dxa"/>
            <w:vAlign w:val="bottom"/>
            <w:tcBorders>
              <w:bottom w:val="single" w:sz="8" w:color="auto"/>
            </w:tcBorders>
          </w:tcPr>
          <w:p>
            <w:pPr>
              <w:jc w:val="center"/>
              <w:ind w:right="38"/>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19"/>
                <w:szCs w:val="19"/>
                <w:b w:val="1"/>
                <w:bCs w:val="1"/>
                <w:color w:val="auto"/>
                <w:w w:val="99"/>
                <w:vertAlign w:val="superscript"/>
              </w:rPr>
              <w:t>(1)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4"/>
                <w:szCs w:val="14"/>
                <w:b w:val="1"/>
                <w:bCs w:val="1"/>
                <w:color w:val="auto"/>
                <w:w w:val="94"/>
              </w:rPr>
              <w:t xml:space="preserve">or programs </w:t>
            </w:r>
            <w:r>
              <w:rPr>
                <w:rFonts w:ascii="Times New Roman" w:cs="Times New Roman" w:eastAsia="Times New Roman" w:hAnsi="Times New Roman"/>
                <w:sz w:val="19"/>
                <w:szCs w:val="19"/>
                <w:b w:val="1"/>
                <w:bCs w:val="1"/>
                <w:color w:val="auto"/>
                <w:w w:val="94"/>
                <w:vertAlign w:val="superscript"/>
              </w:rPr>
              <w:t>(2)(3)</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to February 28, 2026</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3,353,268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69.90</w:t>
            </w:r>
          </w:p>
        </w:tc>
        <w:tc>
          <w:tcPr>
            <w:tcW w:w="17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2,984,184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to March 31, 2026</w:t>
            </w:r>
          </w:p>
        </w:tc>
        <w:tc>
          <w:tcPr>
            <w:tcW w:w="14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590,844</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590,706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3,944,112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69.90</w:t>
            </w:r>
          </w:p>
        </w:tc>
        <w:tc>
          <w:tcPr>
            <w:tcW w:w="17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3,574,890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-156845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-156845</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ind w:left="640" w:right="300" w:hanging="377"/>
        <w:spacing w:after="0" w:line="257"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(a) 369,222 shares reported in this column are attributable to shares withheld for taxes in connection with vesting of restricted stock awards and restricted stock units under our 2019 Stock Incentive Plan, and (b) 3,574,890 shares reported in this column were repurchased at an average price per share of $69.93 for a total cost of $250 million.</w:t>
      </w:r>
    </w:p>
    <w:p>
      <w:pPr>
        <w:spacing w:after="0" w:line="1" w:lineRule="exact"/>
        <w:rPr>
          <w:rFonts w:ascii="Times New Roman" w:cs="Times New Roman" w:eastAsia="Times New Roman" w:hAnsi="Times New Roman"/>
          <w:sz w:val="18"/>
          <w:szCs w:val="18"/>
          <w:color w:val="auto"/>
        </w:rPr>
      </w:pPr>
    </w:p>
    <w:p>
      <w:pPr>
        <w:ind w:left="640" w:right="140" w:hanging="377"/>
        <w:spacing w:after="0" w:line="250"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2014, the board of directors authorized the repurchase of up to $200 million of the Company's shares of common stock, on July 20, 2015, the board of directors authorized the repurchase of an additional $400 million of the Company's shares of common stock, on May 1, 2019, the board of directors approved an additional repurchase authorization amount of $373 million and on October 22, 2025, the board of directors approved an additional $1,251 million increase to our existing share repurchase authorization, bringing the total remaining repurchase capacity at that time to approximately $1,500 million. After completing these open market repurchases, the Company’s outstanding board approved share repurchase authorization as of March 31, 2026, was approximately $1,150 million. Between January 1, 2014 and March 31, 2026, the Company repurchased a total of approximately 24 million shares for an aggregate cost of approximately $1,098 million.</w:t>
      </w:r>
    </w:p>
    <w:p>
      <w:pPr>
        <w:spacing w:after="0" w:line="2"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values stated in millions.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During the first quarter of 2026, none of the Company’s officers or directors adopted or terminated any “Rule 10b5-1 trading arrangement” or any “non-Rule 10b5-1 trading arrangement,” as each term is defined in Item 408 of Regulation S-K.</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tc>
      </w:tr>
      <w:tr>
        <w:trPr>
          <w:trHeight w:val="4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Amended and Restated Articles of Incorporation of the Company (adopted January 18, 2023) (incorporated by reference to Exhibit 3.1 to</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8-K filed on January 19, 2023).</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By-Laws (incorporated by reference to Exhibit 3.2 to Form 8-K filed on January 19, 2023).</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Form of Performance Stock Award Agreement under the 2019 Stock Incentive Plan (incorporated by reference to Exhibit 10.1 to Form 8-K</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filed on March 4, 2026).</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Performance Stock Unit Award Agreement under the 2019 Stock Incentive Plan (incorporated by reference to Exhibit10.2 to Form</w:t>
              </w:r>
            </w:hyperlink>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80" w:type="dxa"/>
            <w:vAlign w:val="bottom"/>
            <w:gridSpan w:val="10"/>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8-K filed on March 4, 2026).</w:t>
              </w:r>
            </w:hyperlink>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10.3*</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Performance Stock Unit Award Agreement (Non US) under the 2019 Stock Incentive Plan.</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10.4*</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(Non US) under the 2019 Stock Incentive Plan.</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10.5*</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Performance Stock Unit Award Agreement (Non US) under the 2019 Stock Incentive Plan.</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Executive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800" w:type="dxa"/>
            <w:vAlign w:val="bottom"/>
            <w:tcBorders>
              <w:left w:val="single" w:sz="8" w:color="0000FF"/>
            </w:tcBorders>
            <w:gridSpan w:val="5"/>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Financial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Executive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4680" w:type="dxa"/>
            <w:vAlign w:val="bottom"/>
            <w:tcBorders>
              <w:left w:val="single" w:sz="8" w:color="0000FF"/>
            </w:tcBorders>
            <w:gridSpan w:val="6"/>
          </w:tcPr>
          <w:p>
            <w:pPr>
              <w:spacing w:after="0" w:line="20" w:lineRule="exact"/>
              <w:rPr>
                <w:sz w:val="1"/>
                <w:szCs w:val="1"/>
                <w:color w:val="auto"/>
              </w:rPr>
            </w:pPr>
          </w:p>
        </w:tc>
      </w:tr>
      <w:tr>
        <w:trPr>
          <w:trHeight w:val="31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Financial Officer of the Registrant.</w:t>
            </w:r>
          </w:p>
        </w:tc>
      </w:tr>
      <w:tr>
        <w:trPr>
          <w:trHeight w:val="20"/>
        </w:trPr>
        <w:tc>
          <w:tcPr>
            <w:tcW w:w="40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80" w:right="20" w:hanging="982"/>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2026,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p>
      <w:pPr>
        <w:spacing w:after="0" w:line="85" w:lineRule="exact"/>
        <w:rPr>
          <w:sz w:val="20"/>
          <w:szCs w:val="20"/>
          <w:color w:val="auto"/>
        </w:rPr>
      </w:pPr>
    </w:p>
    <w:p>
      <w:pPr>
        <w:ind w:left="1080" w:hanging="982"/>
        <w:spacing w:after="0"/>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BROWN &amp; BROWN, INC.</w:t>
            </w:r>
          </w:p>
        </w:tc>
      </w:tr>
      <w:tr>
        <w:trPr>
          <w:trHeight w:val="473"/>
        </w:trPr>
        <w:tc>
          <w:tcPr>
            <w:tcW w:w="3520" w:type="dxa"/>
            <w:vAlign w:val="bottom"/>
          </w:tcPr>
          <w:p>
            <w:pPr>
              <w:spacing w:after="0"/>
              <w:rPr>
                <w:sz w:val="24"/>
                <w:szCs w:val="24"/>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/s/ R. Andrew Watts</w:t>
            </w:r>
          </w:p>
        </w:tc>
      </w:tr>
      <w:tr>
        <w:trPr>
          <w:trHeight w:val="2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 Andrew Watts</w:t>
            </w:r>
          </w:p>
        </w:tc>
      </w:tr>
      <w:tr>
        <w:trPr>
          <w:trHeight w:val="216"/>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tc>
      </w:tr>
      <w:tr>
        <w:trPr>
          <w:trHeight w:val="238"/>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principal financial officer)</w:t>
            </w:r>
          </w:p>
        </w:tc>
      </w:tr>
      <w:tr>
        <w:trPr>
          <w:trHeight w:val="648"/>
        </w:trPr>
        <w:tc>
          <w:tcPr>
            <w:tcW w:w="35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50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ind w:left="15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267970</wp:posOffset>
            </wp:positionH>
            <wp:positionV relativeFrom="page">
              <wp:posOffset>500380</wp:posOffset>
            </wp:positionV>
            <wp:extent cx="591185" cy="6083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591185" cy="608330"/>
                    </a:xfrm>
                    <a:prstGeom prst="rect">
                      <a:avLst/>
                    </a:prstGeom>
                    <a:noFill/>
                  </pic:spPr>
                </pic:pic>
              </a:graphicData>
            </a:graphic>
          </wp:anchor>
        </w:drawing>
        <w:t>BROWN &amp; BROWN, INC.</w:t>
      </w:r>
    </w:p>
    <w:p>
      <w:pPr>
        <w:spacing w:after="0" w:line="5" w:lineRule="exact"/>
        <w:rPr>
          <w:sz w:val="20"/>
          <w:szCs w:val="20"/>
          <w:color w:val="auto"/>
        </w:rPr>
      </w:pPr>
    </w:p>
    <w:p>
      <w:pPr>
        <w:jc w:val="center"/>
        <w:ind w:left="1580"/>
        <w:spacing w:after="0"/>
        <w:rPr>
          <w:sz w:val="20"/>
          <w:szCs w:val="20"/>
          <w:color w:val="auto"/>
        </w:rPr>
      </w:pPr>
      <w:r>
        <w:rPr>
          <w:rFonts w:ascii="Arial" w:cs="Arial" w:eastAsia="Arial" w:hAnsi="Arial"/>
          <w:sz w:val="22"/>
          <w:szCs w:val="22"/>
          <w:b w:val="1"/>
          <w:bCs w:val="1"/>
          <w:color w:val="auto"/>
        </w:rPr>
        <w:t>PERFORMANCE STOCK UNIT AWARD AGREEMENT</w:t>
      </w:r>
    </w:p>
    <w:p>
      <w:pPr>
        <w:ind w:left="3040"/>
        <w:spacing w:after="0"/>
        <w:rPr>
          <w:sz w:val="20"/>
          <w:szCs w:val="20"/>
          <w:color w:val="auto"/>
        </w:rPr>
      </w:pPr>
      <w:r>
        <w:rPr>
          <w:rFonts w:ascii="Arial" w:cs="Arial" w:eastAsia="Arial" w:hAnsi="Arial"/>
          <w:sz w:val="20"/>
          <w:szCs w:val="20"/>
          <w:b w:val="1"/>
          <w:bCs w:val="1"/>
          <w:color w:val="auto"/>
        </w:rPr>
        <w:t>(Non-US Key Corporate Leaders / Profit Center Leaders / Other Leaders)</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 Number: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Grantee:</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Date of Grant:</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Performance Stock Units:</w:t>
      </w:r>
    </w:p>
    <w:p>
      <w:pPr>
        <w:spacing w:after="0" w:line="253" w:lineRule="exact"/>
        <w:rPr>
          <w:sz w:val="20"/>
          <w:szCs w:val="20"/>
          <w:color w:val="auto"/>
        </w:rPr>
      </w:pPr>
    </w:p>
    <w:p>
      <w:pPr>
        <w:jc w:val="both"/>
        <w:ind w:firstLine="480"/>
        <w:spacing w:after="0" w:line="248" w:lineRule="auto"/>
        <w:rPr>
          <w:sz w:val="20"/>
          <w:szCs w:val="20"/>
          <w:color w:val="auto"/>
        </w:rPr>
      </w:pPr>
      <w:r>
        <w:rPr>
          <w:rFonts w:ascii="Arial" w:cs="Arial" w:eastAsia="Arial" w:hAnsi="Arial"/>
          <w:sz w:val="21"/>
          <w:szCs w:val="21"/>
          <w:color w:val="auto"/>
        </w:rPr>
        <w:t>This Performance Stock Unit Award Agreement (this “Agreement”) is entered into as of the date described above (the “Date of Grant”), between BROWN &amp; BROWN, INC., a Florida corporation (together with its subsidiaries, the “Company”) and the grantee described above (the “Grantee”), pursuant to the terms and conditions of the Brown</w:t>
      </w:r>
    </w:p>
    <w:p>
      <w:pPr>
        <w:ind w:firstLine="8"/>
        <w:spacing w:after="0"/>
        <w:tabs>
          <w:tab w:leader="none" w:pos="246" w:val="left"/>
        </w:tabs>
        <w:numPr>
          <w:ilvl w:val="0"/>
          <w:numId w:val="26"/>
        </w:numPr>
        <w:rPr>
          <w:rFonts w:ascii="Arial" w:cs="Arial" w:eastAsia="Arial" w:hAnsi="Arial"/>
          <w:sz w:val="22"/>
          <w:szCs w:val="22"/>
          <w:color w:val="auto"/>
        </w:rPr>
      </w:pPr>
      <w:r>
        <w:rPr>
          <w:rFonts w:ascii="Arial" w:cs="Arial" w:eastAsia="Arial" w:hAnsi="Arial"/>
          <w:sz w:val="22"/>
          <w:szCs w:val="22"/>
          <w:color w:val="auto"/>
        </w:rPr>
        <w:t>Brown, Inc. 2019 Stock Incentive Plan, as amended (the “Plan”). Any term capitalized but not defined in this Agreement will have the meaning set forth in the Plan.</w:t>
      </w:r>
    </w:p>
    <w:p>
      <w:pPr>
        <w:spacing w:after="0" w:line="203" w:lineRule="exact"/>
        <w:rPr>
          <w:sz w:val="20"/>
          <w:szCs w:val="20"/>
          <w:color w:val="auto"/>
        </w:rPr>
      </w:pPr>
    </w:p>
    <w:p>
      <w:pPr>
        <w:jc w:val="both"/>
        <w:ind w:firstLine="480"/>
        <w:spacing w:after="0" w:line="233" w:lineRule="auto"/>
        <w:rPr>
          <w:sz w:val="20"/>
          <w:szCs w:val="20"/>
          <w:color w:val="auto"/>
        </w:rPr>
      </w:pPr>
      <w:r>
        <w:rPr>
          <w:rFonts w:ascii="Arial" w:cs="Arial" w:eastAsia="Arial" w:hAnsi="Arial"/>
          <w:sz w:val="22"/>
          <w:szCs w:val="22"/>
          <w:color w:val="auto"/>
        </w:rPr>
        <w:t>The Plan provides to the Compensation Committee of the Board of Directors of the Company (the “Committee”) the discretion and authority to grant to Employees or Directors Awards of restricted rights to receive shares of the common stock of the Company, par value $.10 per share (each, a “Share”), subject to the terms and conditions of the Plan and any additional terms and conditions provided by the Committee. The Plan identifies such an Award as an Award of Restricted Stock Units. In addition, the Plan provides to the Committee the discretion and authority to specify performance-based conditions for the awarding of Restricted Stock Units under an Award of Restricted Stock Units, and identifies an Award of Restricted Stock Units with such performance-based conditions as a Performance-Based Award. Pursuant to the terms of the Plan, the Committee desires to grant an Award of Performance-Based Restricted Stock Units (“Performance Stock Units”) to the Grantee effective as of the Date of Grant. The Grantee desires to accept the Award of Performance Stock Units and agrees to be bound by the terms and conditions of the Plan and this Performance Stock Unit Award Agreement. Accordingly, the Company and the Grantee hereby agree to the restrictions, terms, and conditions set forth below.</w:t>
      </w:r>
    </w:p>
    <w:p>
      <w:pPr>
        <w:spacing w:after="0" w:line="210" w:lineRule="exact"/>
        <w:rPr>
          <w:sz w:val="20"/>
          <w:szCs w:val="20"/>
          <w:color w:val="auto"/>
        </w:rPr>
      </w:pPr>
    </w:p>
    <w:p>
      <w:pPr>
        <w:jc w:val="both"/>
        <w:ind w:firstLine="542"/>
        <w:spacing w:after="0" w:line="235" w:lineRule="auto"/>
        <w:tabs>
          <w:tab w:leader="none" w:pos="9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Performance Stock Units. </w:t>
      </w:r>
      <w:r>
        <w:rPr>
          <w:rFonts w:ascii="Arial" w:cs="Arial" w:eastAsia="Arial" w:hAnsi="Arial"/>
          <w:sz w:val="22"/>
          <w:szCs w:val="22"/>
          <w:color w:val="auto"/>
        </w:rPr>
        <w:t>The Company grants to the Grantee the number of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described above (the “PSUs”), effective as of the Date of Grant. Each PSU represents the right to receive a Share subject to the restrictions and conditions set forth in the Plan and this Agreement. The Grantee will have no rights as a shareholder of the Company, no dividend rights, and no voting rights with respect to the PSUs or the Shares underlying the PSUs unless and until the PSUs become awarded and vested and nonforfeitable in accordance with the terms and conditions of this Agreement, and the PSUs are settled and such Shares are delivered to the Grantee in accordance with Section 7 of this Agreement. For purposes of this Agreement, the PSUs are divided into two (2) portions (each, a “Tranche”). Fifty percent (50%) of the PSUs will be “Tranche 1 PSUs” and fifty percent (50%) of the PSUs will be “Tranche 2 PSUs.”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entitlement to Dividend Equivalents will be in accordance with Section 8 of this Agreement.</w:t>
      </w:r>
    </w:p>
    <w:p>
      <w:pPr>
        <w:spacing w:after="0" w:line="231" w:lineRule="exact"/>
        <w:rPr>
          <w:sz w:val="20"/>
          <w:szCs w:val="20"/>
          <w:color w:val="auto"/>
        </w:rPr>
      </w:pPr>
    </w:p>
    <w:p>
      <w:pPr>
        <w:jc w:val="both"/>
        <w:ind w:firstLine="488"/>
        <w:spacing w:after="0" w:line="256" w:lineRule="auto"/>
        <w:tabs>
          <w:tab w:leader="none" w:pos="96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Country-Specific Provisions. </w:t>
      </w:r>
      <w:r>
        <w:rPr>
          <w:rFonts w:ascii="Arial" w:cs="Arial" w:eastAsia="Arial" w:hAnsi="Arial"/>
          <w:sz w:val="21"/>
          <w:szCs w:val="21"/>
          <w:color w:val="auto"/>
        </w:rPr>
        <w:t>Notwithstanding any provision of this Agreement to the contrary, the PSUs</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Shares issued pursuant to this Agreement will be subject to the applicable special terms and provisions, if any, for the Grantee’s country of residence (and country of employment, if different), as set forth in the Country-Specific Appendix (the “Appendix”) attached to this Agreement. The Appendix constitutes part of this Agreement.</w:t>
      </w:r>
    </w:p>
    <w:p>
      <w:pPr>
        <w:spacing w:after="0" w:line="184" w:lineRule="exact"/>
        <w:rPr>
          <w:rFonts w:ascii="Arial" w:cs="Arial" w:eastAsia="Arial" w:hAnsi="Arial"/>
          <w:sz w:val="21"/>
          <w:szCs w:val="21"/>
          <w:b w:val="1"/>
          <w:bCs w:val="1"/>
          <w:color w:val="auto"/>
        </w:rPr>
      </w:pPr>
    </w:p>
    <w:p>
      <w:pPr>
        <w:jc w:val="both"/>
        <w:ind w:firstLine="569"/>
        <w:spacing w:after="0" w:line="237" w:lineRule="auto"/>
        <w:tabs>
          <w:tab w:leader="none" w:pos="960"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Conditions for Awarding of PSUs. </w:t>
      </w:r>
      <w:r>
        <w:rPr>
          <w:rFonts w:ascii="Arial" w:cs="Arial" w:eastAsia="Arial" w:hAnsi="Arial"/>
          <w:sz w:val="22"/>
          <w:szCs w:val="22"/>
          <w:color w:val="auto"/>
        </w:rPr>
        <w:t>Except as otherwise provided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event of a Change in Control or the termination of the Grantee's employment with the Company as a result of death or Disability, the percentages, if any, of the Tranche 1 PSUs and the Tranche 2 PSUs that will be treated as awarded (the “Awarded PSUs”), and therefore eligible to become vested and nonforfeitable in accordance with Section 4 of this Agreement, will be based on the level of achievement of the applicable performance goals set forth below during the three-year (3-year) period beginning on January 1, 2026, and ending on December 31, 2028 (the “</w:t>
      </w:r>
      <w:r>
        <w:rPr>
          <w:rFonts w:ascii="Arial" w:cs="Arial" w:eastAsia="Arial" w:hAnsi="Arial"/>
          <w:sz w:val="22"/>
          <w:szCs w:val="22"/>
          <w:b w:val="1"/>
          <w:bCs w:val="1"/>
          <w:u w:val="single" w:color="auto"/>
          <w:color w:val="auto"/>
        </w:rPr>
        <w:t>Performance Period</w:t>
      </w:r>
      <w:r>
        <w:rPr>
          <w:rFonts w:ascii="Arial" w:cs="Arial" w:eastAsia="Arial" w:hAnsi="Arial"/>
          <w:sz w:val="22"/>
          <w:szCs w:val="22"/>
          <w:color w:val="auto"/>
        </w:rPr>
        <w:t>”), subject to the terms and conditions of this Section 3.</w:t>
      </w:r>
    </w:p>
    <w:p>
      <w:pPr>
        <w:spacing w:after="0" w:line="195" w:lineRule="exact"/>
        <w:rPr>
          <w:rFonts w:ascii="Arial" w:cs="Arial" w:eastAsia="Arial" w:hAnsi="Arial"/>
          <w:sz w:val="22"/>
          <w:szCs w:val="22"/>
          <w:b w:val="1"/>
          <w:bCs w:val="1"/>
          <w:color w:val="auto"/>
        </w:rPr>
      </w:pPr>
    </w:p>
    <w:p>
      <w:pPr>
        <w:jc w:val="both"/>
        <w:ind w:firstLine="1036"/>
        <w:spacing w:after="0" w:line="238" w:lineRule="auto"/>
        <w:tabs>
          <w:tab w:leader="none" w:pos="1440" w:val="left"/>
        </w:tabs>
        <w:numPr>
          <w:ilvl w:val="2"/>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Tranche 1 PSUs - Organic Revenue Growth Rate Condition. </w:t>
      </w:r>
      <w:r>
        <w:rPr>
          <w:rFonts w:ascii="Arial" w:cs="Arial" w:eastAsia="Arial" w:hAnsi="Arial"/>
          <w:sz w:val="22"/>
          <w:szCs w:val="22"/>
          <w:color w:val="auto"/>
        </w:rPr>
        <w:t>The extent to which, if any,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Tranche 1 PSUs become Awarded PSUs will be based upon the Company's Average Organic Revenue Growth Rate (as defined below) during the Performance Period (the “Organic Revenue Growth Rate Condition”). The percentage, if any, of the Tranche 1 PSUs that become Awarded PSUs will be determined in accordance with the following schedule:</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740" w:type="dxa"/>
            <w:vAlign w:val="bottom"/>
            <w:tcBorders>
              <w:top w:val="single" w:sz="8" w:color="auto"/>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Performance Level</w:t>
            </w:r>
          </w:p>
        </w:tc>
        <w:tc>
          <w:tcPr>
            <w:tcW w:w="5260" w:type="dxa"/>
            <w:vAlign w:val="bottom"/>
            <w:tcBorders>
              <w:top w:val="single" w:sz="8" w:color="auto"/>
              <w:right w:val="single" w:sz="8" w:color="auto"/>
            </w:tcBorders>
          </w:tcPr>
          <w:p>
            <w:pPr>
              <w:ind w:left="920"/>
              <w:spacing w:after="0" w:line="201" w:lineRule="exact"/>
              <w:rPr>
                <w:sz w:val="20"/>
                <w:szCs w:val="20"/>
                <w:color w:val="auto"/>
              </w:rPr>
            </w:pPr>
            <w:r>
              <w:rPr>
                <w:rFonts w:ascii="Arial" w:cs="Arial" w:eastAsia="Arial" w:hAnsi="Arial"/>
                <w:sz w:val="18"/>
                <w:szCs w:val="18"/>
                <w:b w:val="1"/>
                <w:bCs w:val="1"/>
                <w:color w:val="auto"/>
              </w:rPr>
              <w:t>Average Organic Revenue Growth Rate</w:t>
            </w:r>
          </w:p>
        </w:tc>
        <w:tc>
          <w:tcPr>
            <w:tcW w:w="324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Awarded Percentage of</w:t>
            </w:r>
          </w:p>
        </w:tc>
      </w:tr>
      <w:tr>
        <w:trPr>
          <w:trHeight w:val="238"/>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Tranche 1 PSUs</w:t>
            </w:r>
          </w:p>
        </w:tc>
      </w:tr>
      <w:tr>
        <w:trPr>
          <w:trHeight w:val="179"/>
        </w:trPr>
        <w:tc>
          <w:tcPr>
            <w:tcW w:w="27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Maximum</w:t>
            </w:r>
          </w:p>
        </w:tc>
        <w:tc>
          <w:tcPr>
            <w:tcW w:w="5260" w:type="dxa"/>
            <w:vAlign w:val="bottom"/>
            <w:tcBorders>
              <w:bottom w:val="single" w:sz="8" w:color="auto"/>
              <w:right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200%</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High Target</w:t>
            </w:r>
          </w:p>
        </w:tc>
        <w:tc>
          <w:tcPr>
            <w:tcW w:w="526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120%</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Target</w:t>
            </w:r>
          </w:p>
        </w:tc>
        <w:tc>
          <w:tcPr>
            <w:tcW w:w="526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100%</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Low Target</w:t>
            </w:r>
          </w:p>
        </w:tc>
        <w:tc>
          <w:tcPr>
            <w:tcW w:w="526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jc w:val="right"/>
              <w:ind w:right="1330"/>
              <w:spacing w:after="0" w:line="196" w:lineRule="exact"/>
              <w:rPr>
                <w:sz w:val="20"/>
                <w:szCs w:val="20"/>
                <w:color w:val="auto"/>
              </w:rPr>
            </w:pPr>
            <w:r>
              <w:rPr>
                <w:rFonts w:ascii="Arial" w:cs="Arial" w:eastAsia="Arial" w:hAnsi="Arial"/>
                <w:sz w:val="18"/>
                <w:szCs w:val="18"/>
                <w:color w:val="auto"/>
              </w:rPr>
              <w:t>80%</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Threshold</w:t>
            </w:r>
          </w:p>
        </w:tc>
        <w:tc>
          <w:tcPr>
            <w:tcW w:w="526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jc w:val="right"/>
              <w:ind w:right="1330"/>
              <w:spacing w:after="0" w:line="196" w:lineRule="exact"/>
              <w:rPr>
                <w:sz w:val="20"/>
                <w:szCs w:val="20"/>
                <w:color w:val="auto"/>
              </w:rPr>
            </w:pPr>
            <w:r>
              <w:rPr>
                <w:rFonts w:ascii="Arial" w:cs="Arial" w:eastAsia="Arial" w:hAnsi="Arial"/>
                <w:sz w:val="18"/>
                <w:szCs w:val="18"/>
                <w:color w:val="auto"/>
              </w:rPr>
              <w:t>50%</w:t>
            </w:r>
          </w:p>
        </w:tc>
      </w:tr>
      <w:tr>
        <w:trPr>
          <w:trHeight w:val="196"/>
        </w:trPr>
        <w:tc>
          <w:tcPr>
            <w:tcW w:w="274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526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jc w:val="right"/>
              <w:ind w:right="13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If the actual performance level of the Company's Average Organic Revenue Growth Rate falls in between any of the Performance Levels listed in the schedule above, the percentage of the Tranche 1 PSUs that become Awarded PSUs will be determined based on straight-line interpolation. The Company's “Average Organic Revenue Growth Rate” for the Performance Period will be determined by calculating the simple average of the Company’s Annual Organic Revenue Growth Rate (as defined below) over the Performance Period. The Company’s “Annual Organic Revenue Growth Rate” means the growth rate of Organic Revenue (as defined below) as reported in the Organic Revenue growth schedule prepared by the Corporate Finance department of the Company in support of the Company’s Annual Report on Form 10-K (or such comparable or equivalent schedule as may be prepared in accordance with legal or accounting rule requirements associated with future filings). “Organic Revenue” is defined as “core commissions and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jc w:val="both"/>
        <w:spacing w:after="0" w:line="233" w:lineRule="auto"/>
        <w:rPr>
          <w:sz w:val="20"/>
          <w:szCs w:val="20"/>
          <w:color w:val="auto"/>
        </w:rPr>
      </w:pPr>
      <w:r>
        <w:rPr>
          <w:rFonts w:ascii="Arial" w:cs="Arial" w:eastAsia="Arial" w:hAnsi="Arial"/>
          <w:sz w:val="22"/>
          <w:szCs w:val="22"/>
          <w:color w:val="auto"/>
        </w:rPr>
        <w:t>fees” less: (i) the core commissions and fees earned for the first twelve (12) months by newly-acquired operations; (ii) divested business (core commissions and fees generated from offices, books of business or niches sold or terminated during the comparable period); and (iii) the period over period impact of foreign currency translation, which is calculated by applying current year foreign exchange rates to the same period in the prior year. The term “core commissions and fees” is (i) the amount shown as commissions and fees, which includes earned premiums in the Company’s capitalized captive insurance facility, on the Company’s Consolidated Statement of Income, less (ii) profit-sharing contingent commissions. The calculation of the Average Organic Revenue Growth Rate may be subject to adjustment for such items (for example, items that are unusual in nature or infrequently occurring) as, in the discretion of the Committee, are determined to be appropriately disregarded for all grantees whose agreements include an Organic Revenue Growth Rate Condition. Any such determination and approval made by the Committee will be final and binding upon the Grantee, the Company, their respective heirs, administrators, personal representatives, successors, assigns, and all other interested persons.</w:t>
      </w:r>
    </w:p>
    <w:p>
      <w:pPr>
        <w:spacing w:after="0" w:line="210" w:lineRule="exact"/>
        <w:rPr>
          <w:sz w:val="20"/>
          <w:szCs w:val="20"/>
          <w:color w:val="auto"/>
        </w:rPr>
      </w:pPr>
    </w:p>
    <w:p>
      <w:pPr>
        <w:jc w:val="both"/>
        <w:ind w:firstLine="968"/>
        <w:spacing w:after="0"/>
        <w:tabs>
          <w:tab w:leader="none" w:pos="1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Tranche 2 PSUs - EPS Condition. </w:t>
      </w:r>
      <w:r>
        <w:rPr>
          <w:rFonts w:ascii="Arial" w:cs="Arial" w:eastAsia="Arial" w:hAnsi="Arial"/>
          <w:sz w:val="22"/>
          <w:szCs w:val="22"/>
          <w:color w:val="auto"/>
        </w:rPr>
        <w:t>The extent to which, if any, the Tranche 2 PSUs become Awarded</w:t>
      </w:r>
      <w:r>
        <w:rPr>
          <w:rFonts w:ascii="Arial" w:cs="Arial" w:eastAsia="Arial" w:hAnsi="Arial"/>
          <w:sz w:val="22"/>
          <w:szCs w:val="22"/>
          <w:b w:val="1"/>
          <w:bCs w:val="1"/>
          <w:color w:val="auto"/>
        </w:rPr>
        <w:t xml:space="preserve"> </w:t>
      </w:r>
      <w:r>
        <w:rPr>
          <w:rFonts w:ascii="Arial" w:cs="Arial" w:eastAsia="Arial" w:hAnsi="Arial"/>
          <w:sz w:val="22"/>
          <w:szCs w:val="22"/>
          <w:color w:val="auto"/>
        </w:rPr>
        <w:t>PSUs will be based upon the Compound Annual Growth Rate (the “CAGR”) of the Company's cumulative earnings per share during the Performance Period (the “EPS Condition”). The percentage, if any, of the Tranche 2 PSUs that become Awarded PSUs will be determined in accordance with the following schedule:</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Performance Level</w:t>
            </w:r>
          </w:p>
        </w:tc>
        <w:tc>
          <w:tcPr>
            <w:tcW w:w="2620" w:type="dxa"/>
            <w:vAlign w:val="bottom"/>
            <w:tcBorders>
              <w:top w:val="single" w:sz="8" w:color="auto"/>
              <w:right w:val="single" w:sz="8" w:color="auto"/>
            </w:tcBorders>
          </w:tcPr>
          <w:p>
            <w:pPr>
              <w:jc w:val="center"/>
              <w:ind w:right="10"/>
              <w:spacing w:after="0" w:line="201" w:lineRule="exact"/>
              <w:rPr>
                <w:sz w:val="20"/>
                <w:szCs w:val="20"/>
                <w:color w:val="auto"/>
              </w:rPr>
            </w:pPr>
            <w:r>
              <w:rPr>
                <w:rFonts w:ascii="Arial" w:cs="Arial" w:eastAsia="Arial" w:hAnsi="Arial"/>
                <w:sz w:val="18"/>
                <w:szCs w:val="18"/>
                <w:b w:val="1"/>
                <w:bCs w:val="1"/>
                <w:color w:val="auto"/>
                <w:w w:val="98"/>
              </w:rPr>
              <w:t>Cumulative</w:t>
            </w:r>
          </w:p>
        </w:tc>
        <w:tc>
          <w:tcPr>
            <w:tcW w:w="1020" w:type="dxa"/>
            <w:vAlign w:val="bottom"/>
            <w:tcBorders>
              <w:top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CAGR</w:t>
            </w:r>
          </w:p>
        </w:tc>
        <w:tc>
          <w:tcPr>
            <w:tcW w:w="5040" w:type="dxa"/>
            <w:vAlign w:val="bottom"/>
            <w:tcBorders>
              <w:top w:val="single" w:sz="8" w:color="auto"/>
              <w:right w:val="single" w:sz="8" w:color="auto"/>
            </w:tcBorders>
          </w:tcPr>
          <w:p>
            <w:pPr>
              <w:jc w:val="right"/>
              <w:ind w:right="730"/>
              <w:spacing w:after="0" w:line="201" w:lineRule="exact"/>
              <w:rPr>
                <w:sz w:val="20"/>
                <w:szCs w:val="20"/>
                <w:color w:val="auto"/>
              </w:rPr>
            </w:pPr>
            <w:r>
              <w:rPr>
                <w:rFonts w:ascii="Arial" w:cs="Arial" w:eastAsia="Arial" w:hAnsi="Arial"/>
                <w:sz w:val="18"/>
                <w:szCs w:val="18"/>
                <w:b w:val="1"/>
                <w:bCs w:val="1"/>
                <w:color w:val="auto"/>
              </w:rPr>
              <w:t>Awarded Percentage of Tranche 2 PSUs</w:t>
            </w:r>
          </w:p>
        </w:tc>
      </w:tr>
      <w:tr>
        <w:trPr>
          <w:trHeight w:val="238"/>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Earnings Per Share</w:t>
            </w:r>
          </w:p>
        </w:tc>
        <w:tc>
          <w:tcPr>
            <w:tcW w:w="1020" w:type="dxa"/>
            <w:vAlign w:val="bottom"/>
            <w:tcBorders>
              <w:bottom w:val="single" w:sz="8" w:color="auto"/>
              <w:right w:val="single" w:sz="8" w:color="auto"/>
            </w:tcBorders>
          </w:tcPr>
          <w:p>
            <w:pPr>
              <w:spacing w:after="0"/>
              <w:rPr>
                <w:sz w:val="20"/>
                <w:szCs w:val="20"/>
                <w:color w:val="auto"/>
              </w:rPr>
            </w:pPr>
          </w:p>
        </w:tc>
        <w:tc>
          <w:tcPr>
            <w:tcW w:w="5040" w:type="dxa"/>
            <w:vAlign w:val="bottom"/>
            <w:tcBorders>
              <w:bottom w:val="single" w:sz="8" w:color="auto"/>
              <w:right w:val="single" w:sz="8" w:color="auto"/>
            </w:tcBorders>
          </w:tcPr>
          <w:p>
            <w:pPr>
              <w:spacing w:after="0"/>
              <w:rPr>
                <w:sz w:val="20"/>
                <w:szCs w:val="20"/>
                <w:color w:val="auto"/>
              </w:rPr>
            </w:pPr>
          </w:p>
        </w:tc>
      </w:tr>
      <w:tr>
        <w:trPr>
          <w:trHeight w:val="179"/>
        </w:trPr>
        <w:tc>
          <w:tcPr>
            <w:tcW w:w="25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Maximum</w:t>
            </w:r>
          </w:p>
        </w:tc>
        <w:tc>
          <w:tcPr>
            <w:tcW w:w="262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5040" w:type="dxa"/>
            <w:vAlign w:val="bottom"/>
            <w:tcBorders>
              <w:bottom w:val="single" w:sz="8" w:color="auto"/>
              <w:right w:val="single" w:sz="8" w:color="auto"/>
            </w:tcBorders>
          </w:tcPr>
          <w:p>
            <w:pPr>
              <w:jc w:val="right"/>
              <w:ind w:right="2210"/>
              <w:spacing w:after="0" w:line="179" w:lineRule="exact"/>
              <w:rPr>
                <w:sz w:val="20"/>
                <w:szCs w:val="20"/>
                <w:color w:val="auto"/>
              </w:rPr>
            </w:pPr>
            <w:r>
              <w:rPr>
                <w:rFonts w:ascii="Arial" w:cs="Arial" w:eastAsia="Arial" w:hAnsi="Arial"/>
                <w:sz w:val="18"/>
                <w:szCs w:val="18"/>
                <w:color w:val="auto"/>
              </w:rPr>
              <w:t>200%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High Target</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10"/>
              <w:spacing w:after="0" w:line="196" w:lineRule="exact"/>
              <w:rPr>
                <w:sz w:val="20"/>
                <w:szCs w:val="20"/>
                <w:color w:val="auto"/>
              </w:rPr>
            </w:pPr>
            <w:r>
              <w:rPr>
                <w:rFonts w:ascii="Arial" w:cs="Arial" w:eastAsia="Arial" w:hAnsi="Arial"/>
                <w:sz w:val="18"/>
                <w:szCs w:val="18"/>
                <w:color w:val="auto"/>
              </w:rPr>
              <w:t>120%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Target</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1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Low Target</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30"/>
              <w:spacing w:after="0" w:line="196" w:lineRule="exact"/>
              <w:rPr>
                <w:sz w:val="20"/>
                <w:szCs w:val="20"/>
                <w:color w:val="auto"/>
              </w:rPr>
            </w:pPr>
            <w:r>
              <w:rPr>
                <w:rFonts w:ascii="Arial" w:cs="Arial" w:eastAsia="Arial" w:hAnsi="Arial"/>
                <w:sz w:val="18"/>
                <w:szCs w:val="18"/>
                <w:color w:val="auto"/>
              </w:rPr>
              <w:t>80%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Threshold</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30"/>
              <w:spacing w:after="0" w:line="196" w:lineRule="exact"/>
              <w:rPr>
                <w:sz w:val="20"/>
                <w:szCs w:val="20"/>
                <w:color w:val="auto"/>
              </w:rPr>
            </w:pPr>
            <w:r>
              <w:rPr>
                <w:rFonts w:ascii="Arial" w:cs="Arial" w:eastAsia="Arial" w:hAnsi="Arial"/>
                <w:sz w:val="18"/>
                <w:szCs w:val="18"/>
                <w:color w:val="auto"/>
              </w:rPr>
              <w:t>50%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If the actual performance level of the CAGR of the Company's earnings per share falls in between any of the Performance Levels listed in the schedule above, the percentage of the Tranche 2 PSUs that become Awarded PSUs will be determined based on straight-line interpolation. The CAGR of the Company's earnings per share for the Performance Period will be determined by comparison of the earnings per share, as adjusted by the Committee in its discretion to exclude the effect of certain items that were unusual in nature or infrequently occurring, for the twelve-month period ending December 31, 2025, that is $4.26 per share, to the sum of the earnings per share for the twelve-month periods ending December 31, 2026, 2027, and 2028. For purposes of this Agreement, the Company's earnings per share will be calculated in accordance with generally accepted accounting principles recognized in the United States of America (“GAAP”), except that such calculation will be (i) without regard to the after-tax impact of: (a) the change in estimated acquisition earn-out payables; (b) (gain)/loss on disposal; and (c) amortization, and (ii) subject to adjustment for such items (for example, items that are unusual in nature or infrequently occurring) as, in the discretion of the Committee, are determined to be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jc w:val="both"/>
        <w:spacing w:after="0" w:line="245" w:lineRule="auto"/>
        <w:rPr>
          <w:sz w:val="20"/>
          <w:szCs w:val="20"/>
          <w:color w:val="auto"/>
        </w:rPr>
      </w:pPr>
      <w:r>
        <w:rPr>
          <w:rFonts w:ascii="Arial" w:cs="Arial" w:eastAsia="Arial" w:hAnsi="Arial"/>
          <w:sz w:val="22"/>
          <w:szCs w:val="22"/>
          <w:color w:val="auto"/>
        </w:rPr>
        <w:t>appropriately disregarded for all grantees whose agreements include an EPS Condition. Any such determination and approval made by the Committee will be final and binding upon the Grantee, the Company, their respective heirs, administrators, personal representatives, successors, assigns, and all other interested persons.</w:t>
      </w:r>
    </w:p>
    <w:p>
      <w:pPr>
        <w:spacing w:after="0" w:line="195" w:lineRule="exact"/>
        <w:rPr>
          <w:sz w:val="20"/>
          <w:szCs w:val="20"/>
          <w:color w:val="auto"/>
        </w:rPr>
      </w:pPr>
    </w:p>
    <w:p>
      <w:pPr>
        <w:jc w:val="both"/>
        <w:ind w:firstLine="1009"/>
        <w:spacing w:after="0" w:line="232" w:lineRule="auto"/>
        <w:tabs>
          <w:tab w:leader="none" w:pos="1440" w:val="left"/>
        </w:tabs>
        <w:numPr>
          <w:ilvl w:val="2"/>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Procedure. </w:t>
      </w:r>
      <w:r>
        <w:rPr>
          <w:rFonts w:ascii="Arial" w:cs="Arial" w:eastAsia="Arial" w:hAnsi="Arial"/>
          <w:sz w:val="22"/>
          <w:szCs w:val="22"/>
          <w:color w:val="auto"/>
        </w:rPr>
        <w:t>The applicable percentage, if any, of each Tranche will become Awarded PSUs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on which the Committee determines the level of achievement of the performance goal applicable to the Tranche (the “General Awarded Date”), provided that the Grantee has been continuously employed by the Company since the Date of Grant. For the avoidance of doubt, the Committee's determinations of the levels of achievement of the performance goals for the Tranche 1 PSUs and the Tranche 2 PSUs may occur on different dates, and therefore the General Awarded Dates applicable to the Tranches are not required to be identical. Also for the avoidance of doubt, any reference in this Agreement to Awarded PSUs that does not include a reference to either of the Tranches will be a reference to the PSUs in both Tranches that become Awarded PSUs pursuant to either this Section 3 or Section 5 of the Agreement. The Committee's determination will be based on the actual level of achievement of the applicable performance goal, in accordance with the provisions of the Plan and this Agreement, including, without limitation, the provisions of the Plan and this Agreement relating to adjustment for items that are unusual in nature or infrequently occurring, and the provisions of the Plan relating to the Committee’s authority and discretion to establish procedures for determination of the level of achievement. The Committee's determination will be final, binding, and conclusive on all persons, including but not limited to the Company and the Grantee. The Grantee will not be entitled to any claim or recourse if any action or inaction by the Company, or any other circumstance or event, including any circumstance or event outside the control of the Grantee, adversely affects the level of achievement, or in any way prevents the satisfaction, of the applicable performance goal.</w:t>
      </w:r>
    </w:p>
    <w:p>
      <w:pPr>
        <w:spacing w:after="0" w:line="216" w:lineRule="exact"/>
        <w:rPr>
          <w:rFonts w:ascii="Arial" w:cs="Arial" w:eastAsia="Arial" w:hAnsi="Arial"/>
          <w:sz w:val="22"/>
          <w:szCs w:val="22"/>
          <w:b w:val="1"/>
          <w:bCs w:val="1"/>
          <w:color w:val="auto"/>
        </w:rPr>
      </w:pPr>
    </w:p>
    <w:p>
      <w:pPr>
        <w:jc w:val="both"/>
        <w:ind w:firstLine="968"/>
        <w:spacing w:after="0" w:line="234" w:lineRule="auto"/>
        <w:tabs>
          <w:tab w:leader="none" w:pos="1440" w:val="left"/>
        </w:tabs>
        <w:numPr>
          <w:ilvl w:val="1"/>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5 of this Agreement in the event of a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After Change in Control or the termination of the Grantee's employment with the Company as a result of the Grantee's death or Disability, if the Grantee's employment with the Company terminates, as determined in accordance with Section 14(e) of this Agreement, for any reason before the General Awarded Date for a Tranche, the Grantee's interest in one hundred percent (100%) of the PSUs in the Tranche will be forfeited immediately upon the Grantee's termination of employment with the Company. In addition, except as otherwise provided in Section 5 of this Agreement, any PSUs in a Tranche that do not become Awarded PSUs on the General Awarded Date for the Tranche based on the Committee's determination of the level of achievement of the performance goal applicable to the Tranche will be forfeited immediately on such General Awarded Date and will not be eligible to become vested and nonforfeitable in accordance with Section 4 of this Agreement.</w:t>
      </w:r>
    </w:p>
    <w:p>
      <w:pPr>
        <w:spacing w:after="0" w:line="206" w:lineRule="exact"/>
        <w:rPr>
          <w:rFonts w:ascii="Arial" w:cs="Arial" w:eastAsia="Arial" w:hAnsi="Arial"/>
          <w:sz w:val="22"/>
          <w:szCs w:val="22"/>
          <w:b w:val="1"/>
          <w:bCs w:val="1"/>
          <w:color w:val="auto"/>
        </w:rPr>
      </w:pPr>
    </w:p>
    <w:p>
      <w:pPr>
        <w:jc w:val="both"/>
        <w:ind w:firstLine="488"/>
        <w:spacing w:after="0" w:line="245" w:lineRule="auto"/>
        <w:tabs>
          <w:tab w:leader="none" w:pos="9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Condition for Vesting of Awarded PSUs. </w:t>
      </w:r>
      <w:r>
        <w:rPr>
          <w:rFonts w:ascii="Arial" w:cs="Arial" w:eastAsia="Arial" w:hAnsi="Arial"/>
          <w:sz w:val="22"/>
          <w:szCs w:val="22"/>
          <w:color w:val="auto"/>
        </w:rPr>
        <w:t>Except as otherwise provided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event of the Grantee’s attainment of age 64, Termination After Change in Control, or the termination of the Grantee's employment with the Company as a result of the Grantee's death or Disability, the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5" w:name="page46"/>
    <w:bookmarkEnd w:id="45"/>
    <w:p>
      <w:pPr>
        <w:jc w:val="both"/>
        <w:spacing w:after="0" w:line="238" w:lineRule="auto"/>
        <w:rPr>
          <w:sz w:val="20"/>
          <w:szCs w:val="20"/>
          <w:color w:val="auto"/>
        </w:rPr>
      </w:pPr>
      <w:r>
        <w:rPr>
          <w:rFonts w:ascii="Arial" w:cs="Arial" w:eastAsia="Arial" w:hAnsi="Arial"/>
          <w:sz w:val="22"/>
          <w:szCs w:val="22"/>
          <w:color w:val="auto"/>
        </w:rPr>
        <w:t>Grantee's interest in the Awarded PSUs will become fully vested and nonforfeitable on the fifth (5th) anniversary of the Date of Grant, provided that the Grantee has been continuously employed by the Company since the Date of Grant, as determined in accordance with Section 14(e) of this Agreement. Except as otherwise provided in Section 5 of this Agreement, if the Grantee's employment terminates for any reason before the fifth (5th) anniversary of the Date of Grant, the Grantee's interest in one hundred percent (100%) of the Awarded PSUs will be forfeited.</w:t>
      </w:r>
    </w:p>
    <w:p>
      <w:pPr>
        <w:spacing w:after="0" w:line="202" w:lineRule="exact"/>
        <w:rPr>
          <w:sz w:val="20"/>
          <w:szCs w:val="20"/>
          <w:color w:val="auto"/>
        </w:rPr>
      </w:pPr>
    </w:p>
    <w:p>
      <w:pPr>
        <w:jc w:val="both"/>
        <w:ind w:firstLine="502"/>
        <w:spacing w:after="0" w:line="232" w:lineRule="auto"/>
        <w:tabs>
          <w:tab w:leader="none" w:pos="9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Treatment of PSUs upon Attainment of Age 64, Change in Control, or Termination of Employment as a Result of Death or Disability. </w:t>
      </w:r>
      <w:r>
        <w:rPr>
          <w:rFonts w:ascii="Arial" w:cs="Arial" w:eastAsia="Arial" w:hAnsi="Arial"/>
          <w:sz w:val="22"/>
          <w:szCs w:val="22"/>
          <w:color w:val="auto"/>
        </w:rPr>
        <w:t>The purpose of this Section 5 is to provide special rules that may apply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awarding or vesting, or both the awarding and vesting, of PSUs in the event of the Grantee’s attainment of age 64, a Change in Control, or the termination of the Grantee's employment with the Company as a result of the Grantee's death or Disability. For the avoidance of doubt, a reference in this Agreement to the occurrence of an event "prior to awarding" or similar references will mean that the event occurs before the Committee determines the level of achievement of the applicable performance goal in accordance with Section 3(c) of this Agreement, and therefore before any portion of the affected PSUs become Awarded PSUs in accordance with Section 3(c) of this Agreement, or if applicable in the event of a Change in Control, before the Committee determines the level of achievement of the applicable performance goal in accordance with Section 5(b)(1)(A) of this Agreement, and therefore before any portion of the affected PSUs become Awarded PSUs in accordance with Section 5(b)(1)(A) of this Agreement. Similarly, a reference to the occurrence of an event "after awarding" or similar references will mean that the event occurs after the Committee determines the level of achievement of the applicable performance goal in accordance with Section 3(c) of this Agreement, and therefore after the applicable portion, if any, of the affected PSUs have become Awarded PSUs in accordance with Section 3(c) of this Agreement, or if applicable in the event of a Change in Control, after the Committee determines the level of achievement of the applicable performance goal in accordance with Section 5(b)(1)(A) of this Agreement, and therefore after the applicable portion, if any, of the affected PSUs become Awarded PSUs in accordance with Section 5(b)(1)(A) of this Agreement.</w:t>
      </w:r>
    </w:p>
    <w:p>
      <w:pPr>
        <w:spacing w:after="0" w:line="215" w:lineRule="exact"/>
        <w:rPr>
          <w:rFonts w:ascii="Arial" w:cs="Arial" w:eastAsia="Arial" w:hAnsi="Arial"/>
          <w:sz w:val="22"/>
          <w:szCs w:val="22"/>
          <w:b w:val="1"/>
          <w:bCs w:val="1"/>
          <w:color w:val="auto"/>
        </w:rPr>
      </w:pPr>
    </w:p>
    <w:p>
      <w:pPr>
        <w:ind w:left="1440" w:hanging="472"/>
        <w:spacing w:after="0"/>
        <w:tabs>
          <w:tab w:leader="none" w:pos="1440"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Attainment of Age 64.</w:t>
      </w:r>
    </w:p>
    <w:p>
      <w:pPr>
        <w:spacing w:after="0" w:line="233" w:lineRule="exact"/>
        <w:rPr>
          <w:rFonts w:ascii="Arial" w:cs="Arial" w:eastAsia="Arial" w:hAnsi="Arial"/>
          <w:sz w:val="22"/>
          <w:szCs w:val="22"/>
          <w:b w:val="1"/>
          <w:bCs w:val="1"/>
          <w:color w:val="auto"/>
        </w:rPr>
      </w:pPr>
    </w:p>
    <w:p>
      <w:pPr>
        <w:jc w:val="both"/>
        <w:ind w:firstLine="1448"/>
        <w:spacing w:after="0" w:line="238" w:lineRule="auto"/>
        <w:tabs>
          <w:tab w:leader="none" w:pos="1920" w:val="left"/>
        </w:tabs>
        <w:numPr>
          <w:ilvl w:val="2"/>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Attainment of Age 64 Prior to Awarding - No Effect on Awarding of PSUs. </w:t>
      </w:r>
      <w:r>
        <w:rPr>
          <w:rFonts w:ascii="Arial" w:cs="Arial" w:eastAsia="Arial" w:hAnsi="Arial"/>
          <w:sz w:val="22"/>
          <w:szCs w:val="22"/>
          <w:color w:val="auto"/>
        </w:rPr>
        <w:t>If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attains age 64 prior to awarding, the determination of whether and to what extent the PSUs become Awarded PSUs will be determined in accordance with the provisions of Section 3 of this Agreement without regard to the Grantee's age. For the avoidance of doubt, no portion of the PSUs will become Awarded PSUs as a result of the Grantee's attainment of age 64.</w:t>
      </w:r>
    </w:p>
    <w:p>
      <w:pPr>
        <w:spacing w:after="0" w:line="203" w:lineRule="exact"/>
        <w:rPr>
          <w:rFonts w:ascii="Arial" w:cs="Arial" w:eastAsia="Arial" w:hAnsi="Arial"/>
          <w:sz w:val="22"/>
          <w:szCs w:val="22"/>
          <w:b w:val="1"/>
          <w:bCs w:val="1"/>
          <w:color w:val="auto"/>
        </w:rPr>
      </w:pPr>
    </w:p>
    <w:p>
      <w:pPr>
        <w:jc w:val="both"/>
        <w:ind w:firstLine="1475"/>
        <w:spacing w:after="0" w:line="245" w:lineRule="auto"/>
        <w:tabs>
          <w:tab w:leader="none" w:pos="1920" w:val="left"/>
        </w:tabs>
        <w:numPr>
          <w:ilvl w:val="3"/>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Attainment of Age 64 on the Vesting of Awarded PSUs. </w:t>
      </w:r>
      <w:r>
        <w:rPr>
          <w:rFonts w:ascii="Arial" w:cs="Arial" w:eastAsia="Arial" w:hAnsi="Arial"/>
          <w:sz w:val="22"/>
          <w:szCs w:val="22"/>
          <w:color w:val="auto"/>
        </w:rPr>
        <w:t>If the Grantee attains age</w:t>
      </w:r>
      <w:r>
        <w:rPr>
          <w:rFonts w:ascii="Arial" w:cs="Arial" w:eastAsia="Arial" w:hAnsi="Arial"/>
          <w:sz w:val="22"/>
          <w:szCs w:val="22"/>
          <w:b w:val="1"/>
          <w:bCs w:val="1"/>
          <w:color w:val="auto"/>
        </w:rPr>
        <w:t xml:space="preserve"> </w:t>
      </w:r>
      <w:r>
        <w:rPr>
          <w:rFonts w:ascii="Arial" w:cs="Arial" w:eastAsia="Arial" w:hAnsi="Arial"/>
          <w:sz w:val="22"/>
          <w:szCs w:val="22"/>
          <w:color w:val="auto"/>
        </w:rPr>
        <w:t>64 before the fifth (5th) anniversary of the Date of Grant, this Section 5(a)(2) will govern the timing and the extent of the vesting and nonforfeitability of the PSUs, if any, that become Awarded PSUs in accordance with the terms and</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21"/>
          <w:szCs w:val="21"/>
          <w:color w:val="auto"/>
        </w:rPr>
        <w:t>conditions of this Agreement. This Section 5(a)(2) will supersede the standard vesting provision contained in Section 4 of this Agreement only to the extent that it results in accelerated vesting of the Awarded PSUs, and it will not result in a delay of any vesting of any Awarded PSUs that otherwise would occur under the terms of the standard vesting provision contained in Section 4 of this Agreement. The application of the special vesting rules of this Section 5(a)(2) will depend upon whether the Grantee attains age 64 before awarding, or attains age 64 after awarding.</w:t>
      </w:r>
    </w:p>
    <w:p>
      <w:pPr>
        <w:spacing w:after="0" w:line="193" w:lineRule="exact"/>
        <w:rPr>
          <w:sz w:val="20"/>
          <w:szCs w:val="20"/>
          <w:color w:val="auto"/>
        </w:rPr>
      </w:pPr>
    </w:p>
    <w:p>
      <w:pPr>
        <w:jc w:val="both"/>
        <w:ind w:firstLine="1928"/>
        <w:spacing w:after="0" w:line="234" w:lineRule="auto"/>
        <w:tabs>
          <w:tab w:leader="none" w:pos="2400" w:val="left"/>
        </w:tabs>
        <w:numPr>
          <w:ilvl w:val="2"/>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Attainment of Age 64 Prior to Awarding. </w:t>
      </w:r>
      <w:r>
        <w:rPr>
          <w:rFonts w:ascii="Arial" w:cs="Arial" w:eastAsia="Arial" w:hAnsi="Arial"/>
          <w:sz w:val="22"/>
          <w:szCs w:val="22"/>
          <w:color w:val="auto"/>
        </w:rPr>
        <w:t>If the Grantee attains age 64 prior to awarding, a</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the PSUs, if any, that become Awarded PSUs will become vested and nonforfeitable on the later of (i) the General Awarded Date or Change in Control Awarded Date, as applicable, or (ii) the first (1st) anniversary of the Date of Grant that follows the last day of the Performance Period, provided that the Grantee has been continuously employed by the Company since the Date of Grant. The portion of the Awarded PSUs that become vested and nonforfeitable in accordance with this Section 5(a)(2)(A) will be the number of Awarded PSUs multiplied by a fraction, the numerator of which will equal the number of full years since the Date of Grant, and the denominator of which will equal five (5). An additional one-fifth (1/5) of the Awarded PSUs will become vested and nonforfeitable on each subsequent anniversary of the Date of Grant until the fifth (5th) anniversary of the Date of Grant, so long as Grantee continues to be employed by the Company.</w:t>
      </w:r>
    </w:p>
    <w:p>
      <w:pPr>
        <w:spacing w:after="0" w:line="206" w:lineRule="exact"/>
        <w:rPr>
          <w:rFonts w:ascii="Arial" w:cs="Arial" w:eastAsia="Arial" w:hAnsi="Arial"/>
          <w:sz w:val="22"/>
          <w:szCs w:val="22"/>
          <w:b w:val="1"/>
          <w:bCs w:val="1"/>
          <w:color w:val="auto"/>
        </w:rPr>
      </w:pPr>
    </w:p>
    <w:p>
      <w:pPr>
        <w:jc w:val="both"/>
        <w:ind w:firstLine="1448"/>
        <w:spacing w:after="0" w:line="234" w:lineRule="auto"/>
        <w:tabs>
          <w:tab w:leader="none" w:pos="1920" w:val="left"/>
        </w:tabs>
        <w:numPr>
          <w:ilvl w:val="1"/>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Attainment of Age 64 After Awarding. </w:t>
      </w:r>
      <w:r>
        <w:rPr>
          <w:rFonts w:ascii="Arial" w:cs="Arial" w:eastAsia="Arial" w:hAnsi="Arial"/>
          <w:sz w:val="22"/>
          <w:szCs w:val="22"/>
          <w:color w:val="auto"/>
        </w:rPr>
        <w:t>If the Grantee attains age 64 after awarding, a portion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PSUs, if any, that become Awarded PSUs will become vested and nonforfeitable on the first (1st) anniversary of the Date of Grant that coincides with or follows the Grantee's attainment of age 64, provided that the Grantee has been continuously employed by the Company since the Date of Grant. The portion of the Awarded PSUs that become vested and nonforfeitable on the first (1st) anniversary of the Date of Grant that coincides with or follows the Grantee's attainment of age 64 will be the number of Awarded PSUs multiplied by a fraction, the numerator of which will equal the number of full years since the Date of Grant, and the denominator of which will equal five (5). An additional one-fifth (1/5) of the Awarded PSUs will become vested and nonforfeitable on each subsequent anniversary of the Date of Grant until the fifth (5th) anniversary of the Date of Grant, so long as Grantee continues to be employed by the Company.</w:t>
      </w:r>
    </w:p>
    <w:p>
      <w:pPr>
        <w:spacing w:after="0" w:line="206" w:lineRule="exact"/>
        <w:rPr>
          <w:rFonts w:ascii="Arial" w:cs="Arial" w:eastAsia="Arial" w:hAnsi="Arial"/>
          <w:sz w:val="22"/>
          <w:szCs w:val="22"/>
          <w:b w:val="1"/>
          <w:bCs w:val="1"/>
          <w:color w:val="auto"/>
        </w:rPr>
      </w:pPr>
    </w:p>
    <w:p>
      <w:pPr>
        <w:ind w:left="1440" w:hanging="472"/>
        <w:spacing w:after="0"/>
        <w:tabs>
          <w:tab w:leader="none" w:pos="144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33" w:lineRule="exact"/>
        <w:rPr>
          <w:sz w:val="20"/>
          <w:szCs w:val="20"/>
          <w:color w:val="auto"/>
        </w:rPr>
      </w:pPr>
    </w:p>
    <w:p>
      <w:pPr>
        <w:ind w:left="1920" w:hanging="472"/>
        <w:spacing w:after="0"/>
        <w:tabs>
          <w:tab w:leader="none" w:pos="19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Prior to General Awarded Date.</w:t>
      </w:r>
    </w:p>
    <w:p>
      <w:pPr>
        <w:spacing w:after="0" w:line="233" w:lineRule="exact"/>
        <w:rPr>
          <w:rFonts w:ascii="Arial" w:cs="Arial" w:eastAsia="Arial" w:hAnsi="Arial"/>
          <w:sz w:val="22"/>
          <w:szCs w:val="22"/>
          <w:b w:val="1"/>
          <w:bCs w:val="1"/>
          <w:color w:val="auto"/>
        </w:rPr>
      </w:pPr>
    </w:p>
    <w:p>
      <w:pPr>
        <w:jc w:val="both"/>
        <w:ind w:firstLine="1928"/>
        <w:spacing w:after="0" w:line="238" w:lineRule="auto"/>
        <w:tabs>
          <w:tab w:leader="none" w:pos="2400"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Awarding of PSUs Following Change in Control. </w:t>
      </w:r>
      <w:r>
        <w:rPr>
          <w:rFonts w:ascii="Arial" w:cs="Arial" w:eastAsia="Arial" w:hAnsi="Arial"/>
          <w:sz w:val="22"/>
          <w:szCs w:val="22"/>
          <w:color w:val="auto"/>
        </w:rPr>
        <w:t>If a Change in Control occurs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Grant but prior to awarding or forfeiture of the Grantee's interest in the PSUs, a percentage of each of the Tranche 1 PSUs and the Tranche 2 PSUs will become Awarded PSUs, provided that the Grantee has been continuously employed by the Company since the Date of Grant. The percentage of the PSUs in each Tranche that become Awarded PSUs will be the greater of:</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7" w:name="page48"/>
    <w:bookmarkEnd w:id="47"/>
    <w:p>
      <w:pPr>
        <w:spacing w:after="0" w:line="213" w:lineRule="exact"/>
        <w:rPr>
          <w:sz w:val="20"/>
          <w:szCs w:val="20"/>
          <w:color w:val="auto"/>
        </w:rPr>
      </w:pPr>
    </w:p>
    <w:p>
      <w:pPr>
        <w:ind w:left="2880" w:hanging="472"/>
        <w:spacing w:after="0"/>
        <w:tabs>
          <w:tab w:leader="none" w:pos="2880" w:val="left"/>
        </w:tabs>
        <w:numPr>
          <w:ilvl w:val="0"/>
          <w:numId w:val="38"/>
        </w:numPr>
        <w:rPr>
          <w:rFonts w:ascii="Arial" w:cs="Arial" w:eastAsia="Arial" w:hAnsi="Arial"/>
          <w:sz w:val="22"/>
          <w:szCs w:val="22"/>
          <w:b w:val="1"/>
          <w:bCs w:val="1"/>
          <w:color w:val="auto"/>
        </w:rPr>
      </w:pPr>
      <w:r>
        <w:rPr>
          <w:rFonts w:ascii="Arial" w:cs="Arial" w:eastAsia="Arial" w:hAnsi="Arial"/>
          <w:sz w:val="22"/>
          <w:szCs w:val="22"/>
          <w:color w:val="auto"/>
        </w:rPr>
        <w:t>100% of the PSUs in the Tranche; or</w:t>
      </w:r>
    </w:p>
    <w:p>
      <w:pPr>
        <w:spacing w:after="0" w:line="233" w:lineRule="exact"/>
        <w:rPr>
          <w:rFonts w:ascii="Arial" w:cs="Arial" w:eastAsia="Arial" w:hAnsi="Arial"/>
          <w:sz w:val="22"/>
          <w:szCs w:val="22"/>
          <w:b w:val="1"/>
          <w:bCs w:val="1"/>
          <w:color w:val="auto"/>
        </w:rPr>
      </w:pPr>
    </w:p>
    <w:p>
      <w:pPr>
        <w:jc w:val="both"/>
        <w:ind w:firstLine="2408"/>
        <w:spacing w:after="0" w:line="238" w:lineRule="auto"/>
        <w:tabs>
          <w:tab w:leader="none" w:pos="2948" w:val="left"/>
        </w:tabs>
        <w:numPr>
          <w:ilvl w:val="0"/>
          <w:numId w:val="38"/>
        </w:numPr>
        <w:rPr>
          <w:rFonts w:ascii="Arial" w:cs="Arial" w:eastAsia="Arial" w:hAnsi="Arial"/>
          <w:sz w:val="22"/>
          <w:szCs w:val="22"/>
          <w:b w:val="1"/>
          <w:bCs w:val="1"/>
          <w:color w:val="auto"/>
        </w:rPr>
      </w:pPr>
      <w:r>
        <w:rPr>
          <w:rFonts w:ascii="Arial" w:cs="Arial" w:eastAsia="Arial" w:hAnsi="Arial"/>
          <w:sz w:val="22"/>
          <w:szCs w:val="22"/>
          <w:color w:val="auto"/>
        </w:rPr>
        <w:t>the percentage of the PSUs in the applicable Tranche determined in accordance with the schedule in Section 3(a) with respect to the Tranche 1 PSUs or Section 3(b) with respect to the Tranche 2 PSUs, based on the actual level of achievement (up to the maximum level of achievement for each Tranche set forth in Section 3) of the performance goal applicable to the Tranche from the first day of the Performance Period to the date on which the Change in Control occurs.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applicable percentage of each Tranche will become Awarded PSUs on the date on which the Committee determines the level of achievement of the performance goal applicable to the Tranche (the “Change in Control Awarded Date”). For the avoidance of doubt, the Committee's determinations of the achievement of the performance goals for the Tranche 1 PSUs and the Tranche 2 PSUs may occur on different dates, and therefore the Change in Control Awarded Dates applicable to the Tranches are not required to be identical. The Committee's determination will be based on the actual level of achievement of the applicable performance goal, in accordance with the provisions of the Plan and this Agreement, including, without limitation, the provisions of the Plan and this Agreement relating to adjustment for items that are unusual in nature or infrequently occurring, and the provisions of the Plan relating to the Committee’s authority and discretion to establish procedures for determination of the level of achievement. The Committee's determination will be final, binding, and conclusive on all persons, including but not limited to the Company and the Grantee. The Grantee will not be entitled to any claim or recourse if any action or inaction by the Company, or any other circumstance or event, including any circumstance or event outside the control of the Grantee, adversely affects the level of achievement, or in any way prevents the satisfaction, of the applicable performance goal.</w:t>
      </w:r>
    </w:p>
    <w:p>
      <w:pPr>
        <w:spacing w:after="0" w:line="205" w:lineRule="exact"/>
        <w:rPr>
          <w:sz w:val="20"/>
          <w:szCs w:val="20"/>
          <w:color w:val="auto"/>
        </w:rPr>
      </w:pPr>
    </w:p>
    <w:p>
      <w:pPr>
        <w:jc w:val="both"/>
        <w:ind w:firstLine="1928"/>
        <w:spacing w:after="0" w:line="234" w:lineRule="auto"/>
        <w:tabs>
          <w:tab w:leader="none" w:pos="24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Awarded PSUs following Change in Control Awarded Date. </w:t>
      </w:r>
      <w:r>
        <w:rPr>
          <w:rFonts w:ascii="Arial" w:cs="Arial" w:eastAsia="Arial" w:hAnsi="Arial"/>
          <w:sz w:val="22"/>
          <w:szCs w:val="22"/>
          <w:color w:val="auto"/>
        </w:rPr>
        <w:t>Unless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employment with the Company terminates by reason of Termination After Change in Control (as defined below) after the Change in Control Awarded Date but prior to the fifth (5th) anniversary of the Date of Grant, the Grantee's interest in the PSUs that become Awarded PSUs in accordance with Section 5(b)(1)(A) above will become fully vested and nonforfeitable on the fifth (5th) anniversary of the Date of Grant, provided that the Grantee has been continuously employed by the Company since the Date of Grant. However, if the Grantee’s employment with the Company terminates by reason of Termination After Change in Control (as defined below) prior to the fifth (5th) anniversary of the Date of Grant, the PSUs that become Awarded PSUs in accordance with Section 5(b)(1)(A) above will become fully vested and nonforfeitable as of the date of such Termination After Change in Control. For purposes of this Section 5(b), the following definitions will apply:</w:t>
      </w:r>
    </w:p>
    <w:p>
      <w:pPr>
        <w:spacing w:after="0" w:line="206" w:lineRule="exact"/>
        <w:rPr>
          <w:rFonts w:ascii="Arial" w:cs="Arial" w:eastAsia="Arial" w:hAnsi="Arial"/>
          <w:sz w:val="22"/>
          <w:szCs w:val="22"/>
          <w:b w:val="1"/>
          <w:bCs w:val="1"/>
          <w:color w:val="auto"/>
        </w:rPr>
      </w:pPr>
    </w:p>
    <w:p>
      <w:pPr>
        <w:ind w:firstLine="2408"/>
        <w:spacing w:after="0" w:line="261" w:lineRule="auto"/>
        <w:tabs>
          <w:tab w:leader="none" w:pos="2987"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After 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will mean either of the following events</w:t>
      </w:r>
      <w:r>
        <w:rPr>
          <w:rFonts w:ascii="Arial" w:cs="Arial" w:eastAsia="Arial" w:hAnsi="Arial"/>
          <w:sz w:val="22"/>
          <w:szCs w:val="22"/>
          <w:b w:val="1"/>
          <w:bCs w:val="1"/>
          <w:color w:val="auto"/>
        </w:rPr>
        <w:t xml:space="preserve"> </w:t>
      </w:r>
      <w:r>
        <w:rPr>
          <w:rFonts w:ascii="Arial" w:cs="Arial" w:eastAsia="Arial" w:hAnsi="Arial"/>
          <w:sz w:val="22"/>
          <w:szCs w:val="22"/>
          <w:color w:val="auto"/>
        </w:rPr>
        <w:t>occurring after a Change in Control:</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ind w:firstLine="2889"/>
        <w:spacing w:after="0" w:line="245" w:lineRule="auto"/>
        <w:tabs>
          <w:tab w:leader="none" w:pos="355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termination by the Company of the Grantee’s employment with the Company, within twelve (12) months following a Change in Control, for any reason other than Termination for Cause (as defined below); or</w:t>
      </w:r>
    </w:p>
    <w:p>
      <w:pPr>
        <w:spacing w:after="0" w:line="197" w:lineRule="exact"/>
        <w:rPr>
          <w:rFonts w:ascii="Arial" w:cs="Arial" w:eastAsia="Arial" w:hAnsi="Arial"/>
          <w:sz w:val="22"/>
          <w:szCs w:val="22"/>
          <w:b w:val="1"/>
          <w:bCs w:val="1"/>
          <w:color w:val="auto"/>
        </w:rPr>
      </w:pPr>
    </w:p>
    <w:p>
      <w:pPr>
        <w:ind w:left="3680" w:hanging="791"/>
        <w:spacing w:after="0"/>
        <w:tabs>
          <w:tab w:leader="none" w:pos="368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upon Grantee’s Constructive Termination (as defined below), the Grantee’s</w:t>
      </w:r>
    </w:p>
    <w:p>
      <w:pPr>
        <w:spacing w:after="0" w:line="10"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resignation from employment with the Company within twelve (12) months following the Change in Control.</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Notwithstanding any provision herein to the contrary, Termination After Change in Control will not include any termination of the Grantee’s employment with the Company which: (i) is a Termination for Cause (as defined below);</w:t>
      </w:r>
    </w:p>
    <w:p>
      <w:pPr>
        <w:spacing w:after="0" w:line="1" w:lineRule="exact"/>
        <w:rPr>
          <w:sz w:val="20"/>
          <w:szCs w:val="20"/>
          <w:color w:val="auto"/>
        </w:rPr>
      </w:pPr>
    </w:p>
    <w:p>
      <w:pPr>
        <w:jc w:val="both"/>
        <w:ind w:firstLine="8"/>
        <w:spacing w:after="0" w:line="237" w:lineRule="auto"/>
        <w:tabs>
          <w:tab w:leader="none" w:pos="305"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 result of the Grantee’s death or Disability; (iii) is a result of the Grantee’s voluntary termination of employment with the Company other than upon Constructive Termination (as defined below); or (iv) occurs prior to the effectiveness of a Change in Control.</w:t>
      </w:r>
    </w:p>
    <w:p>
      <w:pPr>
        <w:spacing w:after="0" w:line="200" w:lineRule="exact"/>
        <w:rPr>
          <w:rFonts w:ascii="Arial" w:cs="Arial" w:eastAsia="Arial" w:hAnsi="Arial"/>
          <w:sz w:val="22"/>
          <w:szCs w:val="22"/>
          <w:color w:val="auto"/>
        </w:rPr>
      </w:pPr>
    </w:p>
    <w:p>
      <w:pPr>
        <w:jc w:val="both"/>
        <w:ind w:firstLine="2408"/>
        <w:spacing w:after="0" w:line="235" w:lineRule="auto"/>
        <w:tabs>
          <w:tab w:leader="none" w:pos="2973"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for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will mean termination by the Company of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for any of the following reasons: (i) theft, dishonesty, or falsification of any employment or Company records; (ii) the Grantee’s failure or inability to perform any reasonable assigned duties after written notice from the Company of, and a reasonable opportunity to cure, such continued failure or inability; (iii) any material breach by the Grantee of any employment agreement between the Grantee and Company, which breach is not cured pursuant to the terms of such agreement; or (iv) the Grantee’s conviction of any criminal act which, in the Company’s discretion, impairs Grantee’s ability to perform his or her duties with the Company. Termination for Cause pursuant to the foregoing will be determined in the discretion of the Company.</w:t>
      </w:r>
    </w:p>
    <w:p>
      <w:pPr>
        <w:spacing w:after="0" w:line="205" w:lineRule="exact"/>
        <w:rPr>
          <w:rFonts w:ascii="Arial" w:cs="Arial" w:eastAsia="Arial" w:hAnsi="Arial"/>
          <w:sz w:val="22"/>
          <w:szCs w:val="22"/>
          <w:b w:val="1"/>
          <w:bCs w:val="1"/>
          <w:color w:val="auto"/>
        </w:rPr>
      </w:pPr>
    </w:p>
    <w:p>
      <w:pPr>
        <w:ind w:left="2940" w:hanging="532"/>
        <w:spacing w:after="0"/>
        <w:tabs>
          <w:tab w:leader="none" w:pos="2940"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2"/>
          <w:szCs w:val="22"/>
          <w:color w:val="auto"/>
        </w:rPr>
        <w:t>Constructive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will mean any one or more of the following:</w:t>
      </w:r>
    </w:p>
    <w:p>
      <w:pPr>
        <w:spacing w:after="0" w:line="235" w:lineRule="exact"/>
        <w:rPr>
          <w:rFonts w:ascii="Arial" w:cs="Arial" w:eastAsia="Arial" w:hAnsi="Arial"/>
          <w:sz w:val="22"/>
          <w:szCs w:val="22"/>
          <w:b w:val="1"/>
          <w:bCs w:val="1"/>
          <w:color w:val="auto"/>
        </w:rPr>
      </w:pPr>
    </w:p>
    <w:p>
      <w:pPr>
        <w:jc w:val="both"/>
        <w:ind w:firstLine="2889"/>
        <w:spacing w:after="0"/>
        <w:tabs>
          <w:tab w:leader="none" w:pos="3442"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without the Grantee’s express written consent, the assignment to the Grantee of any duties, or any limitation of the Grantee’s responsibilities, substantially inconsistent with and resulting in a material diminution of the Grantee’s positions, duties, responsibilities and status with the Company immediately prior to the date of a Change in Control;</w:t>
      </w:r>
    </w:p>
    <w:p>
      <w:pPr>
        <w:spacing w:after="0" w:line="203" w:lineRule="exact"/>
        <w:rPr>
          <w:rFonts w:ascii="Arial" w:cs="Arial" w:eastAsia="Arial" w:hAnsi="Arial"/>
          <w:sz w:val="22"/>
          <w:szCs w:val="22"/>
          <w:b w:val="1"/>
          <w:bCs w:val="1"/>
          <w:color w:val="auto"/>
        </w:rPr>
      </w:pPr>
    </w:p>
    <w:p>
      <w:pPr>
        <w:jc w:val="both"/>
        <w:ind w:firstLine="2889"/>
        <w:spacing w:after="0" w:line="238" w:lineRule="auto"/>
        <w:tabs>
          <w:tab w:leader="none" w:pos="3374"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without the Grantee’s express written consent, the relocation of the principal place of the Grantee’s employment to a location that is more than fifty (50) miles from the Grantee’s principal place of employment immediately prior to the date of a Change in Control, or the imposition of travel requirements substantially more demanding of the Grantee than such travel requirements existing immediately prior to the date of a Change in Control;</w:t>
      </w:r>
    </w:p>
    <w:p>
      <w:pPr>
        <w:spacing w:after="0" w:line="203" w:lineRule="exact"/>
        <w:rPr>
          <w:rFonts w:ascii="Arial" w:cs="Arial" w:eastAsia="Arial" w:hAnsi="Arial"/>
          <w:sz w:val="22"/>
          <w:szCs w:val="22"/>
          <w:b w:val="1"/>
          <w:bCs w:val="1"/>
          <w:color w:val="auto"/>
        </w:rPr>
      </w:pPr>
    </w:p>
    <w:p>
      <w:pPr>
        <w:ind w:left="3420" w:hanging="531"/>
        <w:spacing w:after="0"/>
        <w:tabs>
          <w:tab w:leader="none" w:pos="3420" w:val="left"/>
        </w:tabs>
        <w:numPr>
          <w:ilvl w:val="2"/>
          <w:numId w:val="41"/>
        </w:numPr>
        <w:rPr>
          <w:rFonts w:ascii="Arial" w:cs="Arial" w:eastAsia="Arial" w:hAnsi="Arial"/>
          <w:sz w:val="21"/>
          <w:szCs w:val="21"/>
          <w:b w:val="1"/>
          <w:bCs w:val="1"/>
          <w:color w:val="auto"/>
        </w:rPr>
      </w:pPr>
      <w:r>
        <w:rPr>
          <w:rFonts w:ascii="Arial" w:cs="Arial" w:eastAsia="Arial" w:hAnsi="Arial"/>
          <w:sz w:val="21"/>
          <w:szCs w:val="21"/>
          <w:color w:val="auto"/>
        </w:rPr>
        <w:t>any failure by the Company to pay, or any material reduction by the Company of,</w:t>
      </w:r>
    </w:p>
    <w:p>
      <w:pPr>
        <w:spacing w:after="0" w:line="21" w:lineRule="exact"/>
        <w:rPr>
          <w:rFonts w:ascii="Arial" w:cs="Arial" w:eastAsia="Arial" w:hAnsi="Arial"/>
          <w:sz w:val="21"/>
          <w:szCs w:val="21"/>
          <w:b w:val="1"/>
          <w:bCs w:val="1"/>
          <w:color w:val="auto"/>
        </w:rPr>
      </w:pPr>
    </w:p>
    <w:p>
      <w:pPr>
        <w:ind w:firstLine="8"/>
        <w:spacing w:after="0"/>
        <w:tabs>
          <w:tab w:leader="none" w:pos="28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Grantee’s base salary in effect immediately prior to the date of the Change in Control (unless comparable reductions are concurrently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made for all other employees of the Company with responsibilities, organizational level and title comparable to the Grantee’s), or (ii) the Grantee’s bonus compensation, if any, in effect immediately prior to the date of the Change in Control (subject to applicable performance requirements with respect to the actual amount of bonus compensation earned by the Grantee); or</w:t>
      </w:r>
    </w:p>
    <w:p>
      <w:pPr>
        <w:spacing w:after="0" w:line="203" w:lineRule="exact"/>
        <w:rPr>
          <w:sz w:val="20"/>
          <w:szCs w:val="20"/>
          <w:color w:val="auto"/>
        </w:rPr>
      </w:pPr>
    </w:p>
    <w:p>
      <w:pPr>
        <w:jc w:val="both"/>
        <w:ind w:firstLine="2889"/>
        <w:spacing w:after="0" w:line="234" w:lineRule="auto"/>
        <w:tabs>
          <w:tab w:leader="none" w:pos="3658"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any failure by the Company to (i) continue to provide the Grantee with the opportunity to participate, on terms no less favorable than those in effect for the benefit of any employee group which customarily includes a person holding the employment position or a comparable position with the Company then held by the Grantee, in any benefit or compensation plans and programs, including, but not limited to, the Company’s life, disability, health, dental, medical, savings, profit sharing, stock purchase and retirement plans, if any, in which the Grantee was participating immediately prior to the date of the Change in Control, or their equivalent, or (ii) provide the Grantee with all other fringe benefits (or their equivalent) from time to time in effect for the benefit of any employee group which customarily includes a person holding the employment position or a comparable position with the Company then held by the Grantee.</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must provide written notice to the Company of the existence of one or more adverse conditions specified in clauses a. through d. above within ninety (90) days of the initial existence of the adverse condition(s), and the effective date of the Grantee’s resignation must be within one (1) year following the effective date of the occurrence of the applicable adverse condition(s). Notwithstanding the foregoing provisions of this definition of Constructive Termination, if the Company remedies the adverse condition(s) within thirty (30) days of being notified of the adverse condition(s), no Constructive Termination will occur.</w:t>
      </w:r>
    </w:p>
    <w:p>
      <w:pPr>
        <w:spacing w:after="0" w:line="207" w:lineRule="exact"/>
        <w:rPr>
          <w:sz w:val="20"/>
          <w:szCs w:val="20"/>
          <w:color w:val="auto"/>
        </w:rPr>
      </w:pPr>
    </w:p>
    <w:p>
      <w:pPr>
        <w:jc w:val="both"/>
        <w:ind w:firstLine="1448"/>
        <w:spacing w:after="0" w:line="238" w:lineRule="auto"/>
        <w:tabs>
          <w:tab w:leader="none" w:pos="19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On or After General Awarded Date. </w:t>
      </w:r>
      <w:r>
        <w:rPr>
          <w:rFonts w:ascii="Arial" w:cs="Arial" w:eastAsia="Arial" w:hAnsi="Arial"/>
          <w:sz w:val="22"/>
          <w:szCs w:val="22"/>
          <w:color w:val="auto"/>
        </w:rPr>
        <w:t>If the Grantee’s employment with the Company terminates</w:t>
      </w:r>
      <w:r>
        <w:rPr>
          <w:rFonts w:ascii="Arial" w:cs="Arial" w:eastAsia="Arial" w:hAnsi="Arial"/>
          <w:sz w:val="22"/>
          <w:szCs w:val="22"/>
          <w:b w:val="1"/>
          <w:bCs w:val="1"/>
          <w:color w:val="auto"/>
        </w:rPr>
        <w:t xml:space="preserve"> </w:t>
      </w:r>
      <w:r>
        <w:rPr>
          <w:rFonts w:ascii="Arial" w:cs="Arial" w:eastAsia="Arial" w:hAnsi="Arial"/>
          <w:sz w:val="22"/>
          <w:szCs w:val="22"/>
          <w:color w:val="auto"/>
        </w:rPr>
        <w:t>by reason of Termination After Change in Control after the General Awarded Date, but before the Grantee's interest in the Awarded PSUs becomes fully vested and nonforfeitable in accordance with Section 4 of this Agreement or is forfeited, the Awarded PSUs will become fully vested and nonforfeitable as of the date of such Termination After Change in Control.</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0" w:name="page51"/>
    <w:bookmarkEnd w:id="50"/>
    <w:p>
      <w:pPr>
        <w:ind w:left="1720" w:hanging="483"/>
        <w:spacing w:after="0"/>
        <w:tabs>
          <w:tab w:leader="none" w:pos="1720" w:val="left"/>
        </w:tabs>
        <w:numPr>
          <w:ilvl w:val="3"/>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as a Result of Death or Disability.</w:t>
      </w:r>
    </w:p>
    <w:p>
      <w:pPr>
        <w:spacing w:after="0" w:line="233" w:lineRule="exact"/>
        <w:rPr>
          <w:rFonts w:ascii="Arial" w:cs="Arial" w:eastAsia="Arial" w:hAnsi="Arial"/>
          <w:sz w:val="22"/>
          <w:szCs w:val="22"/>
          <w:b w:val="1"/>
          <w:bCs w:val="1"/>
          <w:color w:val="auto"/>
        </w:rPr>
      </w:pPr>
    </w:p>
    <w:p>
      <w:pPr>
        <w:jc w:val="both"/>
        <w:ind w:firstLine="1744"/>
        <w:spacing w:after="0" w:line="236" w:lineRule="auto"/>
        <w:tabs>
          <w:tab w:leader="none" w:pos="2189" w:val="left"/>
        </w:tabs>
        <w:numPr>
          <w:ilvl w:val="4"/>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Prior to Awarding. </w:t>
      </w:r>
      <w:r>
        <w:rPr>
          <w:rFonts w:ascii="Arial" w:cs="Arial" w:eastAsia="Arial" w:hAnsi="Arial"/>
          <w:sz w:val="22"/>
          <w:szCs w:val="22"/>
          <w:color w:val="auto"/>
        </w:rPr>
        <w:t>If the Grantee’s employment with the Company terminates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Grantee’s death or Disability prior to awarding or forfeiture of the Grantee's interest in the PSUs, a portion of the PSUs will become vested and nonforfeitable on the date on which the Grantee's employment terminates. The portion of the PSUs that will become vested and nonforfeitable pursuant to this Section 5(c)(1) will be the number of PSUs that are granted in Section 1 of this Agreement multiplied by a fraction, the numerator of which will equal the number of full months of the Grantee's employment with the Company during the Performance Period, and the denominator of which will equal thirty-six (36).</w:t>
      </w:r>
    </w:p>
    <w:p>
      <w:pPr>
        <w:spacing w:after="0" w:line="202" w:lineRule="exact"/>
        <w:rPr>
          <w:rFonts w:ascii="Arial" w:cs="Arial" w:eastAsia="Arial" w:hAnsi="Arial"/>
          <w:sz w:val="22"/>
          <w:szCs w:val="22"/>
          <w:b w:val="1"/>
          <w:bCs w:val="1"/>
          <w:color w:val="auto"/>
        </w:rPr>
      </w:pPr>
    </w:p>
    <w:p>
      <w:pPr>
        <w:jc w:val="both"/>
        <w:ind w:firstLine="1771"/>
        <w:spacing w:after="0"/>
        <w:tabs>
          <w:tab w:leader="none" w:pos="2189" w:val="left"/>
        </w:tabs>
        <w:numPr>
          <w:ilvl w:val="5"/>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After Awarding. </w:t>
      </w:r>
      <w:r>
        <w:rPr>
          <w:rFonts w:ascii="Arial" w:cs="Arial" w:eastAsia="Arial" w:hAnsi="Arial"/>
          <w:sz w:val="22"/>
          <w:szCs w:val="22"/>
          <w:color w:val="auto"/>
        </w:rPr>
        <w:t>If the Grantee’s employment with the Company terminates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after awarding, but before the Grantee's interest in the Awarded PSUs becomes fully vested and nonforfeitable or is forfeited, the Awarded PSUs will become fully vested and nonforfeitable on the date on which the Grantee's employment terminates.</w:t>
      </w:r>
    </w:p>
    <w:p>
      <w:pPr>
        <w:spacing w:after="0" w:line="203" w:lineRule="exact"/>
        <w:rPr>
          <w:rFonts w:ascii="Arial" w:cs="Arial" w:eastAsia="Arial" w:hAnsi="Arial"/>
          <w:sz w:val="22"/>
          <w:szCs w:val="22"/>
          <w:b w:val="1"/>
          <w:bCs w:val="1"/>
          <w:color w:val="auto"/>
        </w:rPr>
      </w:pPr>
    </w:p>
    <w:p>
      <w:pPr>
        <w:jc w:val="both"/>
        <w:ind w:firstLine="488"/>
        <w:spacing w:after="0" w:line="236" w:lineRule="auto"/>
        <w:tabs>
          <w:tab w:leader="none" w:pos="9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in Number of PSUs. </w:t>
      </w:r>
      <w:r>
        <w:rPr>
          <w:rFonts w:ascii="Arial" w:cs="Arial" w:eastAsia="Arial" w:hAnsi="Arial"/>
          <w:sz w:val="22"/>
          <w:szCs w:val="22"/>
          <w:color w:val="auto"/>
        </w:rPr>
        <w:t>If the Shares underlying the PSUs are changed into or exchanged for a</w:t>
      </w:r>
      <w:r>
        <w:rPr>
          <w:rFonts w:ascii="Arial" w:cs="Arial" w:eastAsia="Arial" w:hAnsi="Arial"/>
          <w:sz w:val="22"/>
          <w:szCs w:val="22"/>
          <w:b w:val="1"/>
          <w:bCs w:val="1"/>
          <w:color w:val="auto"/>
        </w:rPr>
        <w:t xml:space="preserve"> </w:t>
      </w:r>
      <w:r>
        <w:rPr>
          <w:rFonts w:ascii="Arial" w:cs="Arial" w:eastAsia="Arial" w:hAnsi="Arial"/>
          <w:sz w:val="22"/>
          <w:szCs w:val="22"/>
          <w:color w:val="auto"/>
        </w:rPr>
        <w:t>different number or kind of shares of the Company or other securities of the Company by reason of merger, consolidation, recapitalization, reclassification, stock split, stock dividend or combination of shares, the number and kind of PSUs will be equitably adjusted to reflect such changes in accordance with the Plan. Any such adjustment made by the Company's Board of Directors or the Committee will be final and binding upon the Grantee, the Company, their respective heirs, administrators, personal representatives, successors, assigns, and all other interested persons.</w:t>
      </w:r>
    </w:p>
    <w:p>
      <w:pPr>
        <w:spacing w:after="0" w:line="202" w:lineRule="exact"/>
        <w:rPr>
          <w:rFonts w:ascii="Arial" w:cs="Arial" w:eastAsia="Arial" w:hAnsi="Arial"/>
          <w:sz w:val="22"/>
          <w:szCs w:val="22"/>
          <w:b w:val="1"/>
          <w:bCs w:val="1"/>
          <w:color w:val="auto"/>
        </w:rPr>
      </w:pPr>
    </w:p>
    <w:p>
      <w:pPr>
        <w:ind w:left="960" w:hanging="472"/>
        <w:spacing w:after="0"/>
        <w:tabs>
          <w:tab w:leader="none" w:pos="9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PSUs.</w:t>
      </w:r>
    </w:p>
    <w:p>
      <w:pPr>
        <w:spacing w:after="0" w:line="233"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1"/>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Timing of Settlement. </w:t>
      </w:r>
      <w:r>
        <w:rPr>
          <w:rFonts w:ascii="Arial" w:cs="Arial" w:eastAsia="Arial" w:hAnsi="Arial"/>
          <w:sz w:val="22"/>
          <w:szCs w:val="22"/>
          <w:color w:val="auto"/>
        </w:rPr>
        <w:t>Unless and until the PSUs become vested and nonforfeitable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and conditions of this Agreement, the Grantee will have no right to settlement of the PSUs. On or as soon as administratively practicable (and no later than thirty (30) days) after the applicable date of vesting under Section 4 or Section 5 of this Agreement, the Company will settle the vested Awarded PSUs by delivering to the Grantee (or the Grantee’s beneficiary in the event of death) a number of Shares equal to the number of Awarded PSUs that have become vested and nonforfeitable and are to be settled at the applicable settlement date, subject to the provisions of Section 11 of this Agreement relating to tax withholding. The Grantee will have no influence on any determination as to the tax year in which settlement will be made during a specified period following the date or event that triggers a right to settlement.</w:t>
      </w:r>
    </w:p>
    <w:p>
      <w:pPr>
        <w:spacing w:after="0" w:line="200" w:lineRule="exact"/>
        <w:rPr>
          <w:rFonts w:ascii="Arial" w:cs="Arial" w:eastAsia="Arial" w:hAnsi="Arial"/>
          <w:sz w:val="22"/>
          <w:szCs w:val="22"/>
          <w:b w:val="1"/>
          <w:bCs w:val="1"/>
          <w:color w:val="auto"/>
        </w:rPr>
      </w:pPr>
    </w:p>
    <w:p>
      <w:pPr>
        <w:jc w:val="both"/>
        <w:ind w:firstLine="1063"/>
        <w:spacing w:after="0" w:line="245" w:lineRule="auto"/>
        <w:tabs>
          <w:tab w:leader="none" w:pos="1440" w:val="left"/>
        </w:tabs>
        <w:numPr>
          <w:ilvl w:val="2"/>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Manner of Settlement; No Fractional Shares. </w:t>
      </w:r>
      <w:r>
        <w:rPr>
          <w:rFonts w:ascii="Arial" w:cs="Arial" w:eastAsia="Arial" w:hAnsi="Arial"/>
          <w:sz w:val="22"/>
          <w:szCs w:val="22"/>
          <w:color w:val="auto"/>
        </w:rPr>
        <w:t>Subject to the provisions of Section 11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relating to tax withholding, upon settlement of the PSUs that are to be settled at the applicable settlement date, the delivery to the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22"/>
          <w:szCs w:val="22"/>
          <w:color w:val="auto"/>
        </w:rPr>
        <w:t>Grantee of the number of Shares equal to the number of settled PSUs will be, at the Company’s option, evidenced by a Share certificate delivered to the Grantee, or other physical or electronic evidence of Share ownership, including, without limitation, deposit of Shares into a stock brokerage account maintained for the Grantee or credit to a book-entry account for the benefit of the Grantee maintained by the Company’s stock transfer agent or its designee. Notwithstanding any provision of this Agreement to the contrary, any fractional Share that would otherwise result from the application of any provision of this Agreement will be rounded down to the nearest whole number, as determined by the Committee in its discretion.</w:t>
      </w:r>
    </w:p>
    <w:p>
      <w:pPr>
        <w:spacing w:after="0" w:line="201" w:lineRule="exact"/>
        <w:rPr>
          <w:sz w:val="20"/>
          <w:szCs w:val="20"/>
          <w:color w:val="auto"/>
        </w:rPr>
      </w:pPr>
    </w:p>
    <w:p>
      <w:pPr>
        <w:jc w:val="both"/>
        <w:ind w:firstLine="1009"/>
        <w:spacing w:after="0" w:line="235" w:lineRule="auto"/>
        <w:tabs>
          <w:tab w:leader="none" w:pos="1440"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Settlement. </w:t>
      </w:r>
      <w:r>
        <w:rPr>
          <w:rFonts w:ascii="Arial" w:cs="Arial" w:eastAsia="Arial" w:hAnsi="Arial"/>
          <w:sz w:val="22"/>
          <w:szCs w:val="22"/>
          <w:color w:val="auto"/>
        </w:rPr>
        <w:t>Neither the Grantee nor any beneficiary of the Grantee will have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interest in any PSUs that have been settled. The Company retains discretion to determine the settlement date in accordance with Section 7(a) of this Agreement and the terms of the Plan, and no Grantee or beneficiary of a Grantee will have any claim for damages or loss by virtue of the fact that the market price of the Shares was higher on a given date upon which settlement could have been made as compared to the market price on or after the actual settlement date. The Company will not be liable for any foreign exchange rate fluctuation between the Grantee's local currency and the U.S. Dollar that may affect the value of the PSUs or of any amounts due to the Grantee pursuant to the PSUs or the subsequent sale of any Shares acquired under the Plan.</w:t>
      </w:r>
    </w:p>
    <w:p>
      <w:pPr>
        <w:spacing w:after="0" w:line="205" w:lineRule="exact"/>
        <w:rPr>
          <w:rFonts w:ascii="Arial" w:cs="Arial" w:eastAsia="Arial" w:hAnsi="Arial"/>
          <w:sz w:val="22"/>
          <w:szCs w:val="22"/>
          <w:b w:val="1"/>
          <w:bCs w:val="1"/>
          <w:color w:val="auto"/>
        </w:rPr>
      </w:pPr>
    </w:p>
    <w:p>
      <w:pPr>
        <w:jc w:val="both"/>
        <w:ind w:firstLine="488"/>
        <w:spacing w:after="0" w:line="233" w:lineRule="auto"/>
        <w:tabs>
          <w:tab w:leader="none" w:pos="9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The Plan provides that this Agreement may include provisions for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Equivalents (defined below). For purposes of the Plan and this Agreement, a </w:t>
      </w:r>
      <w:r>
        <w:rPr>
          <w:rFonts w:ascii="Arial" w:cs="Arial" w:eastAsia="Arial" w:hAnsi="Arial"/>
          <w:sz w:val="22"/>
          <w:szCs w:val="22"/>
          <w:b w:val="1"/>
          <w:bCs w:val="1"/>
          <w:color w:val="auto"/>
        </w:rPr>
        <w:t>“</w:t>
      </w:r>
      <w:r>
        <w:rPr>
          <w:rFonts w:ascii="Arial" w:cs="Arial" w:eastAsia="Arial" w:hAnsi="Arial"/>
          <w:sz w:val="22"/>
          <w:szCs w:val="22"/>
          <w:color w:val="auto"/>
        </w:rPr>
        <w:t>Dividend Equivalent</w:t>
      </w:r>
      <w:r>
        <w:rPr>
          <w:rFonts w:ascii="Arial" w:cs="Arial" w:eastAsia="Arial" w:hAnsi="Arial"/>
          <w:sz w:val="22"/>
          <w:szCs w:val="22"/>
          <w:b w:val="1"/>
          <w:bCs w:val="1"/>
          <w:color w:val="auto"/>
        </w:rPr>
        <w:t>”</w:t>
      </w:r>
      <w:r>
        <w:rPr>
          <w:rFonts w:ascii="Arial" w:cs="Arial" w:eastAsia="Arial" w:hAnsi="Arial"/>
          <w:sz w:val="22"/>
          <w:szCs w:val="22"/>
          <w:color w:val="auto"/>
        </w:rPr>
        <w:t xml:space="preserve"> is a right to receive a payment equal to the amount of cash dividends and value of other distributions that would have been payable on a Share subject to a PSU during a period of time had such Share been issued to the Grantee during such period of time. Except as otherwise provided in the Appendix, if a cash dividend is declared on Shares during the period beginning on the General Awarded Date or Change in Control Awarded Date, whichever is applicable, and ending on the date that Shares are issued in settlement of PSUs, the Grantee will accrue Dividend Equivalents on the PSUs equal to the cash dividend or distribution that would have been paid on the PSUs had the PSUs been issued and outstanding Shares on the record date for the dividend or distribution. Dividend Equivalents will not be paid with respect to PSUs that have been forfeited. Accrued Dividend Equivalents will be denominated and payable solely in cash, and will be paid by the Company directly to the Grantee no later than thirty (30) days following the applicable dividend payment date.</w:t>
      </w:r>
    </w:p>
    <w:p>
      <w:pPr>
        <w:spacing w:after="0" w:line="211" w:lineRule="exact"/>
        <w:rPr>
          <w:rFonts w:ascii="Arial" w:cs="Arial" w:eastAsia="Arial" w:hAnsi="Arial"/>
          <w:sz w:val="22"/>
          <w:szCs w:val="22"/>
          <w:b w:val="1"/>
          <w:bCs w:val="1"/>
          <w:color w:val="auto"/>
        </w:rPr>
      </w:pPr>
    </w:p>
    <w:p>
      <w:pPr>
        <w:jc w:val="both"/>
        <w:ind w:firstLine="488"/>
        <w:spacing w:after="0" w:line="237" w:lineRule="auto"/>
        <w:tabs>
          <w:tab w:leader="none" w:pos="9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Committee will have the power to interpret this Agreement and to adopt such rules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administration, interpretation, and application of the Agreement as are consistent with the Plan, and to interpret or revoke any such rules. All actions taken and all interpretations and determinations made by the Committee in good faith will be final and binding upon the Grantee, the Company, and all other interested persons. No member of the Committee will be personally liable for any action, determination or interpretation made in good faith with respect to the Plan or this Agreement or any similar agreement to which the Company is a party.</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2" w:name="page53"/>
    <w:bookmarkEnd w:id="52"/>
    <w:p>
      <w:pPr>
        <w:spacing w:after="0" w:line="211" w:lineRule="exact"/>
        <w:rPr>
          <w:sz w:val="20"/>
          <w:szCs w:val="20"/>
          <w:color w:val="auto"/>
        </w:rPr>
      </w:pPr>
    </w:p>
    <w:p>
      <w:pPr>
        <w:ind w:left="960" w:hanging="472"/>
        <w:spacing w:after="0"/>
        <w:tabs>
          <w:tab w:leader="none" w:pos="9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w:t>
      </w:r>
    </w:p>
    <w:p>
      <w:pPr>
        <w:spacing w:after="0" w:line="233" w:lineRule="exact"/>
        <w:rPr>
          <w:rFonts w:ascii="Arial" w:cs="Arial" w:eastAsia="Arial" w:hAnsi="Arial"/>
          <w:sz w:val="22"/>
          <w:szCs w:val="22"/>
          <w:b w:val="1"/>
          <w:bCs w:val="1"/>
          <w:color w:val="auto"/>
        </w:rPr>
      </w:pPr>
    </w:p>
    <w:p>
      <w:pPr>
        <w:jc w:val="both"/>
        <w:ind w:firstLine="1049"/>
        <w:spacing w:after="0" w:line="237" w:lineRule="auto"/>
        <w:tabs>
          <w:tab w:leader="none" w:pos="1440" w:val="left"/>
        </w:tabs>
        <w:numPr>
          <w:ilvl w:val="3"/>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Neither the PSUs nor any interest or right therein or part thereof will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10 will not prevent transfers by will or by the applicable laws of descent and distribution or by a beneficiary designation in accordance with this Section 10.</w:t>
      </w:r>
    </w:p>
    <w:p>
      <w:pPr>
        <w:spacing w:after="0" w:line="202"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2"/>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Designations. </w:t>
      </w:r>
      <w:r>
        <w:rPr>
          <w:rFonts w:ascii="Arial" w:cs="Arial" w:eastAsia="Arial" w:hAnsi="Arial"/>
          <w:sz w:val="22"/>
          <w:szCs w:val="22"/>
          <w:color w:val="auto"/>
        </w:rPr>
        <w:t>The Grantee may designate a beneficiary or beneficiaries to exercise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receive any benefits with respect to the PSUs following the Grantee’s death. To be effective, such designation must be made in accordance with such procedures and in such written or electronic form as prescribed by the Company (or its designee) for such purpose. If the Grantee fails to designate a beneficiary, or if no designated beneficiary survives the Grantee’s death, the Grantee’s estate will be deemed the Grantee’s beneficiary. A beneficiary designation may be changed or revoked by the Grantee’s sole action, provided that the change or revocation is made in accordance with such procedures and in such written or electronic form as prescribed by the Company (or its designee) for such purpose. Unless otherwise provided in the beneficiary designation, each designation made by the Grantee will revoke all prior designations made by the Grantee.</w:t>
      </w:r>
    </w:p>
    <w:p>
      <w:pPr>
        <w:spacing w:after="0" w:line="200" w:lineRule="exact"/>
        <w:rPr>
          <w:rFonts w:ascii="Arial" w:cs="Arial" w:eastAsia="Arial" w:hAnsi="Arial"/>
          <w:sz w:val="22"/>
          <w:szCs w:val="22"/>
          <w:b w:val="1"/>
          <w:bCs w:val="1"/>
          <w:color w:val="auto"/>
        </w:rPr>
      </w:pPr>
    </w:p>
    <w:p>
      <w:pPr>
        <w:jc w:val="both"/>
        <w:ind w:firstLine="515"/>
        <w:spacing w:after="0" w:line="244" w:lineRule="auto"/>
        <w:tabs>
          <w:tab w:leader="none" w:pos="960"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Grantee understands and agrees that the Company has the power and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deduct, withhold, or collect any income tax, universal social charge, social insurance or social security contribution, payroll tax, or other amount required by law or regulation to be withheld with respect to any taxable event arising on or related to the granting or vesting of the PSUs (collectively, the “Withholding Amount”). The Grantee authorizes the Company to satisfy the obligations with regard to the Withholding Amount by one or a combination of the following: (i) withholding of Shares to be delivered upon settlement of vested PSUs, provided the Company only withholds the number of Shares necessary to satisfy no more than the maximum applicable statutory withholding amounts; (ii) withholding from other amounts payable to the Grantee by the Company; (iii) withholding from proceeds of the sale of Shares to be delivered upon settlement of vested PSUs by the Company or its designee; (iv) Grantee’s payment of a cash amount (including by check representing readily available funds or a wire transfer); or (v) any other arrangement approved by the Committee and permitted under applicable law. The Withholding Amount may relate to amounts due in more than one jurisdiction and in all cases will be as determined by the Company in its discretion. If the obligation for the Withholding Amount is satisfied by withholding in Shares, for tax purposes, the Grantee is deemed to have been issued the full number of Shares subject to the vested PSUs.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both"/>
        <w:ind w:firstLine="488"/>
        <w:spacing w:after="0" w:line="235" w:lineRule="auto"/>
        <w:tabs>
          <w:tab w:leader="none" w:pos="9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 to be given under the terms of this Agreement to the Company will be addressed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care of its Secretary and any notice to be given to the Grantee will be addressed to the address on file for the Grantee with the Company’s Payroll Department. By a notice given pursuant to this Section 12, either party may hereafter designate a different address for notices to be given to such party. Any notice required to be given to the Grantee will, if the Grantee is then deceased, be given to the Grantee's personal representative if such representative has previously informed the Company of such representative’s status and address by written notice under this Section 12. Any notice will have been deemed duly given when enclosed in a properly sealed envelope addressed as aforesaid, deposited (with postage prepaid) in a postal receptacle regularly maintained by the United States Postal Service or postal service of the jurisdiction in which the notice is mailed.</w:t>
      </w:r>
    </w:p>
    <w:p>
      <w:pPr>
        <w:spacing w:after="0" w:line="200" w:lineRule="exact"/>
        <w:rPr>
          <w:rFonts w:ascii="Arial" w:cs="Arial" w:eastAsia="Arial" w:hAnsi="Arial"/>
          <w:sz w:val="22"/>
          <w:szCs w:val="22"/>
          <w:b w:val="1"/>
          <w:bCs w:val="1"/>
          <w:color w:val="auto"/>
        </w:rPr>
      </w:pPr>
    </w:p>
    <w:p>
      <w:pPr>
        <w:jc w:val="both"/>
        <w:ind w:firstLine="502"/>
        <w:spacing w:after="0" w:line="234" w:lineRule="auto"/>
        <w:tabs>
          <w:tab w:leader="none" w:pos="960" w:val="left"/>
        </w:tabs>
        <w:numPr>
          <w:ilvl w:val="1"/>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color w:val="auto"/>
        </w:rPr>
        <w:t>In order to grant the PSUs, perform its obligations under the Plan and facilitate the proper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the PSUs), the Company may collect, transfer, use, process, or hold certain personal data about the Grantee, including, but not limited to, the Grantee’s name, nationality, citizenship, tax residency, date of birth, age, social insurance number or tax identification number or other identification number, brokerage account information, job title, compensation, Share ownership and equity award history, home address, e-mail address and other contact information (the “Data”). By accepting this grant of the PSUs, the Grantee explicitly and unambiguously consents to the collection, use, and transfer, in electronic or other form, of the Grantee’s Data as described in this Agreement and any other PSU award documentation by and among, as applicable, the Company entities for the exclusive purposes of implementing, administering, and managing the Grantee’s participation in the Plan, and the Grantee acknowledges and agrees as follows in respect of the processing and disclosure of the Grantee’s Data:</w:t>
      </w:r>
    </w:p>
    <w:p>
      <w:pPr>
        <w:spacing w:after="0" w:line="204" w:lineRule="exact"/>
        <w:rPr>
          <w:rFonts w:ascii="Arial" w:cs="Arial" w:eastAsia="Arial" w:hAnsi="Arial"/>
          <w:sz w:val="22"/>
          <w:szCs w:val="22"/>
          <w:b w:val="1"/>
          <w:bCs w:val="1"/>
          <w:color w:val="auto"/>
        </w:rPr>
      </w:pPr>
    </w:p>
    <w:p>
      <w:pPr>
        <w:jc w:val="both"/>
        <w:ind w:firstLine="1063"/>
        <w:spacing w:after="0" w:line="234" w:lineRule="auto"/>
        <w:tabs>
          <w:tab w:leader="none" w:pos="1575" w:val="left"/>
        </w:tabs>
        <w:numPr>
          <w:ilvl w:val="2"/>
          <w:numId w:val="50"/>
        </w:numPr>
        <w:rPr>
          <w:rFonts w:ascii="Arial" w:cs="Arial" w:eastAsia="Arial" w:hAnsi="Arial"/>
          <w:sz w:val="22"/>
          <w:szCs w:val="22"/>
          <w:b w:val="1"/>
          <w:bCs w:val="1"/>
          <w:color w:val="auto"/>
        </w:rPr>
      </w:pPr>
      <w:r>
        <w:rPr>
          <w:rFonts w:ascii="Arial" w:cs="Arial" w:eastAsia="Arial" w:hAnsi="Arial"/>
          <w:sz w:val="22"/>
          <w:szCs w:val="22"/>
          <w:color w:val="auto"/>
        </w:rPr>
        <w:t>The Company is required to collect, process and utilize the personal data for purposes directly relevant to and necessary for the administration of the Plan (including the PSUs). The purposes described in this Section 13 for the processing of the Grantee’s Data are necessary for the administration of the Plan (including the PSUs) and the legitimate interests of the Company in connection with such administration. Such processing may include the disclosure or transfer of some or all of that personal data among the Company entities, and, as necessary, to any third-party service provider engaged by the Company to assist with the implementation, administration, and management of the Plan. The recipients of the Data may be located in the United States or elsewhere, and the Grantee's country or jurisdiction may have different data privacy laws and protections than the United States or other country in which the recipients of the Data are located.</w:t>
      </w:r>
    </w:p>
    <w:p>
      <w:pPr>
        <w:spacing w:after="0" w:line="210" w:lineRule="exact"/>
        <w:rPr>
          <w:rFonts w:ascii="Arial" w:cs="Arial" w:eastAsia="Arial" w:hAnsi="Arial"/>
          <w:sz w:val="22"/>
          <w:szCs w:val="22"/>
          <w:b w:val="1"/>
          <w:bCs w:val="1"/>
          <w:color w:val="auto"/>
        </w:rPr>
      </w:pPr>
    </w:p>
    <w:p>
      <w:pPr>
        <w:jc w:val="both"/>
        <w:ind w:firstLine="1103"/>
        <w:spacing w:after="0"/>
        <w:tabs>
          <w:tab w:leader="none" w:pos="1643" w:val="left"/>
        </w:tabs>
        <w:numPr>
          <w:ilvl w:val="3"/>
          <w:numId w:val="50"/>
        </w:numPr>
        <w:rPr>
          <w:rFonts w:ascii="Arial" w:cs="Arial" w:eastAsia="Arial" w:hAnsi="Arial"/>
          <w:sz w:val="22"/>
          <w:szCs w:val="22"/>
          <w:b w:val="1"/>
          <w:bCs w:val="1"/>
          <w:color w:val="auto"/>
        </w:rPr>
      </w:pPr>
      <w:r>
        <w:rPr>
          <w:rFonts w:ascii="Arial" w:cs="Arial" w:eastAsia="Arial" w:hAnsi="Arial"/>
          <w:sz w:val="22"/>
          <w:szCs w:val="22"/>
          <w:color w:val="auto"/>
        </w:rPr>
        <w:t>The Company and the other recipients of the Data may utilize the Data for the purpose of administering the Plan (including the PSUs), provided that such Data will be kept confidential and will not be used for any purposes not related to the administration of the Plan or the PSUs. The Company will hold and use the Data only as long as is necessary to implement, administer and manage the Participant's participation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in the Plan, or as required to comply with legal or regulatory obligations, including under tax and securities laws.</w:t>
      </w:r>
    </w:p>
    <w:p>
      <w:pPr>
        <w:spacing w:after="0" w:line="233" w:lineRule="exact"/>
        <w:rPr>
          <w:sz w:val="20"/>
          <w:szCs w:val="20"/>
          <w:color w:val="auto"/>
        </w:rPr>
      </w:pPr>
    </w:p>
    <w:p>
      <w:pPr>
        <w:jc w:val="both"/>
        <w:ind w:firstLine="982"/>
        <w:spacing w:after="0" w:line="262" w:lineRule="auto"/>
        <w:tabs>
          <w:tab w:leader="none" w:pos="1454" w:val="left"/>
        </w:tabs>
        <w:numPr>
          <w:ilvl w:val="1"/>
          <w:numId w:val="51"/>
        </w:numPr>
        <w:rPr>
          <w:rFonts w:ascii="Arial" w:cs="Arial" w:eastAsia="Arial" w:hAnsi="Arial"/>
          <w:sz w:val="21"/>
          <w:szCs w:val="21"/>
          <w:b w:val="1"/>
          <w:bCs w:val="1"/>
          <w:color w:val="auto"/>
        </w:rPr>
      </w:pPr>
      <w:r>
        <w:rPr>
          <w:rFonts w:ascii="Arial" w:cs="Arial" w:eastAsia="Arial" w:hAnsi="Arial"/>
          <w:sz w:val="21"/>
          <w:szCs w:val="21"/>
          <w:color w:val="auto"/>
        </w:rPr>
        <w:t>The Grantee’s Data may be processed and disclosed by and to any future potential purchaser of the Company (or of any of its undertaking) for the purpose of administering the Plan (including the PSUs) and/or confirming the Grantee’s entitlement to the PSUs where such entitlement is relevant to such (potential) purchase; and</w:t>
      </w:r>
    </w:p>
    <w:p>
      <w:pPr>
        <w:spacing w:after="0" w:line="181" w:lineRule="exact"/>
        <w:rPr>
          <w:rFonts w:ascii="Arial" w:cs="Arial" w:eastAsia="Arial" w:hAnsi="Arial"/>
          <w:sz w:val="21"/>
          <w:szCs w:val="21"/>
          <w:b w:val="1"/>
          <w:bCs w:val="1"/>
          <w:color w:val="auto"/>
        </w:rPr>
      </w:pPr>
    </w:p>
    <w:p>
      <w:pPr>
        <w:jc w:val="both"/>
        <w:ind w:firstLine="995"/>
        <w:spacing w:after="0" w:line="245" w:lineRule="auto"/>
        <w:tabs>
          <w:tab w:leader="none" w:pos="1494"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The Grantee is providing the consent described in this Section 13 on a purely voluntary basis. If the Grantee refuses to consent or revokes consent, the Grantee will not be able to participate in the Plan or realize benefits (if any) from the PSUs.</w:t>
      </w:r>
    </w:p>
    <w:p>
      <w:pPr>
        <w:spacing w:after="0" w:line="195" w:lineRule="exact"/>
        <w:rPr>
          <w:rFonts w:ascii="Arial" w:cs="Arial" w:eastAsia="Arial" w:hAnsi="Arial"/>
          <w:sz w:val="22"/>
          <w:szCs w:val="22"/>
          <w:b w:val="1"/>
          <w:bCs w:val="1"/>
          <w:color w:val="auto"/>
        </w:rPr>
      </w:pPr>
    </w:p>
    <w:p>
      <w:pPr>
        <w:ind w:firstLine="488"/>
        <w:spacing w:after="0" w:line="261" w:lineRule="auto"/>
        <w:tabs>
          <w:tab w:leader="none" w:pos="9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Contract of Employment; Nature of Grant. </w:t>
      </w:r>
      <w:r>
        <w:rPr>
          <w:rFonts w:ascii="Arial" w:cs="Arial" w:eastAsia="Arial" w:hAnsi="Arial"/>
          <w:sz w:val="22"/>
          <w:szCs w:val="22"/>
          <w:color w:val="auto"/>
        </w:rPr>
        <w:t>By accepting this grant of the PSUs,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acknowledges, and agrees as follows:</w:t>
      </w:r>
    </w:p>
    <w:p>
      <w:pPr>
        <w:spacing w:after="0" w:line="180" w:lineRule="exact"/>
        <w:rPr>
          <w:rFonts w:ascii="Arial" w:cs="Arial" w:eastAsia="Arial" w:hAnsi="Arial"/>
          <w:sz w:val="22"/>
          <w:szCs w:val="22"/>
          <w:b w:val="1"/>
          <w:bCs w:val="1"/>
          <w:color w:val="auto"/>
        </w:rPr>
      </w:pPr>
    </w:p>
    <w:p>
      <w:pPr>
        <w:jc w:val="both"/>
        <w:ind w:firstLine="995"/>
        <w:spacing w:after="0" w:line="238" w:lineRule="auto"/>
        <w:tabs>
          <w:tab w:leader="none" w:pos="1481" w:val="left"/>
        </w:tabs>
        <w:numPr>
          <w:ilvl w:val="2"/>
          <w:numId w:val="52"/>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to the extent permitted by the Plan, and the grant of the PSUs is voluntary and occasional and does not create any contractual or other right to receive future grants of PSUs or other grants, or benefits in lieu of PSUs or other grants, even if PSUs or other grants have been granted in the past.</w:t>
      </w:r>
    </w:p>
    <w:p>
      <w:pPr>
        <w:spacing w:after="0" w:line="203" w:lineRule="exact"/>
        <w:rPr>
          <w:rFonts w:ascii="Arial" w:cs="Arial" w:eastAsia="Arial" w:hAnsi="Arial"/>
          <w:sz w:val="22"/>
          <w:szCs w:val="22"/>
          <w:b w:val="1"/>
          <w:bCs w:val="1"/>
          <w:color w:val="auto"/>
        </w:rPr>
      </w:pPr>
    </w:p>
    <w:p>
      <w:pPr>
        <w:ind w:firstLine="1036"/>
        <w:spacing w:after="0" w:line="233" w:lineRule="auto"/>
        <w:tabs>
          <w:tab w:leader="none" w:pos="1440" w:val="left"/>
        </w:tabs>
        <w:numPr>
          <w:ilvl w:val="3"/>
          <w:numId w:val="52"/>
        </w:numPr>
        <w:rPr>
          <w:rFonts w:ascii="Arial" w:cs="Arial" w:eastAsia="Arial" w:hAnsi="Arial"/>
          <w:sz w:val="22"/>
          <w:szCs w:val="22"/>
          <w:b w:val="1"/>
          <w:bCs w:val="1"/>
          <w:color w:val="auto"/>
        </w:rPr>
      </w:pPr>
      <w:r>
        <w:rPr>
          <w:rFonts w:ascii="Arial" w:cs="Arial" w:eastAsia="Arial" w:hAnsi="Arial"/>
          <w:sz w:val="22"/>
          <w:szCs w:val="22"/>
          <w:color w:val="auto"/>
        </w:rPr>
        <w:t>The Grantee's participation in the Plan is voluntary, and the PSUs and any Shares underlying or acquired pursuant to the PSUs, and the income and value of same, are not part of normal or expected compensation or salary for any purposes, including, without limitation, calculation of any severance, resignation, termination, redundancy, dismissal, end-of-service payments, bonuses, long-service awards, pension or retirement or welfare benefits or similar payments, and the benefit to the Grantee of participation in the Plan (including, in particular but not by way of limitation, the PSUs) will not form any part of the Grantee’s remuneration or count as his or her remuneration for any purpose and will not be pensionable. The PSUs and the Shares subject to the PSUs are extraordinary items that do not constitute compensation of any kind for services of any kind rendered to the Company, and are outside the scope of the Grantee’s employment contract, if any. The PSUs and the Shares subject to the PSUs are not intended to replace any pension rights or compensation, and the rights or opportunity granted to the Grantee on the grant of the PSUs will not give the Grantee any rights or additional rights in respect of any pension scheme operated by the Company.</w:t>
      </w:r>
    </w:p>
    <w:p>
      <w:pPr>
        <w:spacing w:after="0" w:line="211" w:lineRule="exact"/>
        <w:rPr>
          <w:rFonts w:ascii="Arial" w:cs="Arial" w:eastAsia="Arial" w:hAnsi="Arial"/>
          <w:sz w:val="22"/>
          <w:szCs w:val="22"/>
          <w:b w:val="1"/>
          <w:bCs w:val="1"/>
          <w:color w:val="auto"/>
        </w:rPr>
      </w:pPr>
    </w:p>
    <w:p>
      <w:pPr>
        <w:jc w:val="both"/>
        <w:ind w:firstLine="982"/>
        <w:spacing w:after="0" w:line="245" w:lineRule="auto"/>
        <w:tabs>
          <w:tab w:leader="none" w:pos="144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The grant of PSUs and the Grantee’s participation in the Plan will not create a right to employment or be interpreted as forming an employment or service contract with the Company, and will not interfere with the ability of the Company to terminate the Grantee’s employment at any time.</w:t>
      </w:r>
    </w:p>
    <w:p>
      <w:pPr>
        <w:spacing w:after="0" w:line="197" w:lineRule="exact"/>
        <w:rPr>
          <w:rFonts w:ascii="Arial" w:cs="Arial" w:eastAsia="Arial" w:hAnsi="Arial"/>
          <w:sz w:val="22"/>
          <w:szCs w:val="22"/>
          <w:b w:val="1"/>
          <w:bCs w:val="1"/>
          <w:color w:val="auto"/>
        </w:rPr>
      </w:pPr>
    </w:p>
    <w:p>
      <w:pPr>
        <w:ind w:firstLine="995"/>
        <w:spacing w:after="0" w:line="259" w:lineRule="auto"/>
        <w:tabs>
          <w:tab w:leader="none" w:pos="1557" w:val="left"/>
        </w:tabs>
        <w:numPr>
          <w:ilvl w:val="2"/>
          <w:numId w:val="53"/>
        </w:numPr>
        <w:rPr>
          <w:rFonts w:ascii="Arial" w:cs="Arial" w:eastAsia="Arial" w:hAnsi="Arial"/>
          <w:sz w:val="22"/>
          <w:szCs w:val="22"/>
          <w:b w:val="1"/>
          <w:bCs w:val="1"/>
          <w:color w:val="auto"/>
        </w:rPr>
      </w:pPr>
      <w:r>
        <w:rPr>
          <w:rFonts w:ascii="Arial" w:cs="Arial" w:eastAsia="Arial" w:hAnsi="Arial"/>
          <w:sz w:val="22"/>
          <w:szCs w:val="22"/>
          <w:color w:val="auto"/>
        </w:rPr>
        <w:t>The rights or opportunity granted to the Grantee on the grant of the PSUs will not give the Grantee any rights or additional rights if the Grantee ceases to be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jc w:val="both"/>
        <w:spacing w:after="0" w:line="235" w:lineRule="auto"/>
        <w:rPr>
          <w:sz w:val="20"/>
          <w:szCs w:val="20"/>
          <w:color w:val="auto"/>
        </w:rPr>
      </w:pPr>
      <w:r>
        <w:rPr>
          <w:rFonts w:ascii="Arial" w:cs="Arial" w:eastAsia="Arial" w:hAnsi="Arial"/>
          <w:sz w:val="22"/>
          <w:szCs w:val="22"/>
          <w:color w:val="auto"/>
        </w:rPr>
        <w:t>employed by the Company, and the Grantee will not be entitled to compensation for the loss of any right or benefit or prospective right or benefit under the Plan (including, in particular but not by way of limitation, in the event the PSUs lapse or terminate by reason of the Grantee ceasing to be employed by the Company) whether by way of damages for unfair dismissal, wrongful dismissal, breach of contract or otherwise. The Grantee will not be entitled to any compensation or damages for any loss or potential loss that the Grantee may suffer by reason of being unable to acquire or retain Shares or any interest in Shares (or any equivalent or connected interest) pursuant to the PSUs in consequence of the loss or termination of his or her employment with the Company for any reason whatsoever (whether or not the termination is ultimately held to be wrongful or unfair).</w:t>
      </w:r>
    </w:p>
    <w:p>
      <w:pPr>
        <w:spacing w:after="0" w:line="205" w:lineRule="exact"/>
        <w:rPr>
          <w:sz w:val="20"/>
          <w:szCs w:val="20"/>
          <w:color w:val="auto"/>
        </w:rPr>
      </w:pPr>
    </w:p>
    <w:p>
      <w:pPr>
        <w:jc w:val="both"/>
        <w:ind w:firstLine="968"/>
        <w:spacing w:after="0" w:line="233" w:lineRule="auto"/>
        <w:tabs>
          <w:tab w:leader="none" w:pos="1440" w:val="left"/>
        </w:tabs>
        <w:numPr>
          <w:ilvl w:val="1"/>
          <w:numId w:val="54"/>
        </w:numPr>
        <w:rPr>
          <w:rFonts w:ascii="Arial" w:cs="Arial" w:eastAsia="Arial" w:hAnsi="Arial"/>
          <w:sz w:val="22"/>
          <w:szCs w:val="22"/>
          <w:b w:val="1"/>
          <w:bCs w:val="1"/>
          <w:color w:val="auto"/>
        </w:rPr>
      </w:pPr>
      <w:r>
        <w:rPr>
          <w:rFonts w:ascii="Arial" w:cs="Arial" w:eastAsia="Arial" w:hAnsi="Arial"/>
          <w:sz w:val="22"/>
          <w:szCs w:val="22"/>
          <w:color w:val="auto"/>
        </w:rPr>
        <w:t>For purposes of this Agreement, including without limitation the employment conditions and references to termination of employment set forth in Section 3 and Section 4 and Section 5 of this Agreement, the Grantee’s employment will be considered terminated as of the date the Grantee is no longer actively providing services to the Company (regardless of the reason for such termination and whether or not later found to be invalid or in breach of applicable laws in the jurisdiction where the Grantee is employed or the terms of the Grantee's employment agreement, if any), and will not include “garden leave” or any other period of time in which the Grantee is no longer reporting to work with the Company on a regular basis due to an impending termination of employment, regardless of whether or not the Grantee is considered to be employed by the Company during such period. For the avoidance of doubt, any reference in this Agreement to "employment with the Company" or "employed by the Company" will be deemed to include service as a non-Employee member of the Company's Board of Directors, and a Grantee's continuous employment with the Company will not be considered interrupted in the event of a change in the status of the Grantee from Employee to non-Employee Director, or from non-Employee Director to Employee, or from full-time Employee to part-time Employee. The determination of whether and when the Grantee is no longer actively employed for purposes of this Agreement will be made by the Committee in its discretion.</w:t>
      </w:r>
    </w:p>
    <w:p>
      <w:pPr>
        <w:spacing w:after="0" w:line="204" w:lineRule="exact"/>
        <w:rPr>
          <w:rFonts w:ascii="Arial" w:cs="Arial" w:eastAsia="Arial" w:hAnsi="Arial"/>
          <w:sz w:val="22"/>
          <w:szCs w:val="22"/>
          <w:b w:val="1"/>
          <w:bCs w:val="1"/>
          <w:color w:val="auto"/>
        </w:rPr>
      </w:pPr>
    </w:p>
    <w:p>
      <w:pPr>
        <w:jc w:val="both"/>
        <w:ind w:firstLine="488"/>
        <w:spacing w:after="0"/>
        <w:tabs>
          <w:tab w:leader="none" w:pos="9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Titles; English Language. </w:t>
      </w:r>
      <w:r>
        <w:rPr>
          <w:rFonts w:ascii="Arial" w:cs="Arial" w:eastAsia="Arial" w:hAnsi="Arial"/>
          <w:sz w:val="22"/>
          <w:szCs w:val="22"/>
          <w:color w:val="auto"/>
        </w:rPr>
        <w:t>Titles are provided herein for convenience only and are not to serve as a basis</w:t>
      </w:r>
      <w:r>
        <w:rPr>
          <w:rFonts w:ascii="Arial" w:cs="Arial" w:eastAsia="Arial" w:hAnsi="Arial"/>
          <w:sz w:val="22"/>
          <w:szCs w:val="22"/>
          <w:b w:val="1"/>
          <w:bCs w:val="1"/>
          <w:color w:val="auto"/>
        </w:rPr>
        <w:t xml:space="preserve"> </w:t>
      </w:r>
      <w:r>
        <w:rPr>
          <w:rFonts w:ascii="Arial" w:cs="Arial" w:eastAsia="Arial" w:hAnsi="Arial"/>
          <w:sz w:val="22"/>
          <w:szCs w:val="22"/>
          <w:color w:val="auto"/>
        </w:rPr>
        <w:t>for interpretation or construction of this Agreement. If the Grantee has received this Agreement, the Plan, or any other rules, procedures, forms or documents related to the PSUs translated into a language other than English, and if the meaning of the translated version is different than the English version, the English version will control.</w:t>
      </w:r>
    </w:p>
    <w:p>
      <w:pPr>
        <w:spacing w:after="0" w:line="203" w:lineRule="exact"/>
        <w:rPr>
          <w:rFonts w:ascii="Arial" w:cs="Arial" w:eastAsia="Arial" w:hAnsi="Arial"/>
          <w:sz w:val="22"/>
          <w:szCs w:val="22"/>
          <w:b w:val="1"/>
          <w:bCs w:val="1"/>
          <w:color w:val="auto"/>
        </w:rPr>
      </w:pPr>
    </w:p>
    <w:p>
      <w:pPr>
        <w:jc w:val="both"/>
        <w:ind w:firstLine="488"/>
        <w:spacing w:after="0" w:line="250" w:lineRule="auto"/>
        <w:tabs>
          <w:tab w:leader="none" w:pos="96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Disposition. </w:t>
      </w:r>
      <w:r>
        <w:rPr>
          <w:rFonts w:ascii="Arial" w:cs="Arial" w:eastAsia="Arial" w:hAnsi="Arial"/>
          <w:sz w:val="21"/>
          <w:szCs w:val="21"/>
          <w:color w:val="auto"/>
        </w:rPr>
        <w:t>Upon receipt of any Shares as a result of the satisfaction of all conditions to the grant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PSUs, the Grantee will, if requested by the Company in order to assure compliance with applicable law, hold such Shares for investment and not with the view toward resale or distribution to the public and, if so requested by the Company, will deliver to the Company a written statement signed by the Grantee and satisfactory to the Company to that effect. In such instance, the Grantee will give prompt notice to the Company of any disposition or other transfer of any Shares acquired under this Agreement. Such notice will specify the date of such disposition or other transfer and</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22"/>
          <w:szCs w:val="22"/>
          <w:color w:val="auto"/>
        </w:rPr>
        <w:t>the amount realized, in cash, other property, assumption of indebtedness or other consideration, by the Grantee in such disposition or other transfer.</w:t>
      </w:r>
    </w:p>
    <w:p>
      <w:pPr>
        <w:spacing w:after="0" w:line="181" w:lineRule="exact"/>
        <w:rPr>
          <w:sz w:val="20"/>
          <w:szCs w:val="20"/>
          <w:color w:val="auto"/>
        </w:rPr>
      </w:pPr>
    </w:p>
    <w:p>
      <w:pPr>
        <w:jc w:val="both"/>
        <w:ind w:firstLine="757"/>
        <w:spacing w:after="0" w:line="245" w:lineRule="auto"/>
        <w:tabs>
          <w:tab w:leader="none" w:pos="1229" w:val="left"/>
        </w:tabs>
        <w:numPr>
          <w:ilvl w:val="2"/>
          <w:numId w:val="5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Laws. </w:t>
      </w:r>
      <w:r>
        <w:rPr>
          <w:rFonts w:ascii="Arial" w:cs="Arial" w:eastAsia="Arial" w:hAnsi="Arial"/>
          <w:sz w:val="21"/>
          <w:szCs w:val="21"/>
          <w:color w:val="auto"/>
        </w:rPr>
        <w:t>The Company reserves the right to impose other requirements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on the PSUs, and on any Shares acquired or cash payments made pursuant to the Agreement, to the extent the Company determines it is necessary or advisable in order to comply with local law or to facilitate the administration of the Plan, and to require the Grantee to sign any additional agreements or undertakings that may be necessary to accomplish the foregoing. The Grantee agrees to take any and all actions as may be required to comply with the Grantee’s personal legal and tax obligations under all laws, rules, and regulations applicable to the Grantee. The Grantee acknowledges that there may be certain exchange control, foreign asset/account and/or tax reporting requirements that may affect the Grantee’s ability to acquire or hold Shares or cash received from participating in the Plan (including the proceeds from the sale of Shares and the receipt of any Dividend Equivalents or dividends) in a brokerage or bank account outside the Grantee’s country. The Grantee may be required to report such accounts, assets, or related transactions to the tax or other authorities in the Grantee’s country. The Grantee acknowledges that it is the Grantee’s responsibility to comply with such regulations.</w:t>
      </w:r>
    </w:p>
    <w:p>
      <w:pPr>
        <w:spacing w:after="0" w:line="200" w:lineRule="exact"/>
        <w:rPr>
          <w:rFonts w:ascii="Arial" w:cs="Arial" w:eastAsia="Arial" w:hAnsi="Arial"/>
          <w:sz w:val="21"/>
          <w:szCs w:val="21"/>
          <w:b w:val="1"/>
          <w:bCs w:val="1"/>
          <w:color w:val="auto"/>
        </w:rPr>
      </w:pPr>
    </w:p>
    <w:p>
      <w:pPr>
        <w:jc w:val="both"/>
        <w:ind w:firstLine="488"/>
        <w:spacing w:after="0" w:line="238" w:lineRule="auto"/>
        <w:tabs>
          <w:tab w:leader="none" w:pos="9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Severability. </w:t>
      </w:r>
      <w:r>
        <w:rPr>
          <w:rFonts w:ascii="Arial" w:cs="Arial" w:eastAsia="Arial" w:hAnsi="Arial"/>
          <w:sz w:val="22"/>
          <w:szCs w:val="22"/>
          <w:color w:val="auto"/>
        </w:rPr>
        <w:t>This Agreement may be executed in two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deemed an original and all of which together will constitute one agreement. If any provision, or any part thereof, of this Agreement should be held by any court to be illegal, invalid or unenforceable, either in whole or in part, such illegality, invalidity or unenforceability will not affect the legality, validity or enforceability of the remaining provisions, or any part thereof, all of which will remain in full and effect.</w:t>
      </w:r>
    </w:p>
    <w:p>
      <w:pPr>
        <w:spacing w:after="0" w:line="203" w:lineRule="exact"/>
        <w:rPr>
          <w:rFonts w:ascii="Arial" w:cs="Arial" w:eastAsia="Arial" w:hAnsi="Arial"/>
          <w:sz w:val="22"/>
          <w:szCs w:val="22"/>
          <w:b w:val="1"/>
          <w:bCs w:val="1"/>
          <w:color w:val="auto"/>
        </w:rPr>
      </w:pPr>
    </w:p>
    <w:p>
      <w:pPr>
        <w:jc w:val="both"/>
        <w:ind w:firstLine="542"/>
        <w:spacing w:after="0" w:line="235" w:lineRule="auto"/>
        <w:tabs>
          <w:tab w:leader="none" w:pos="960"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Amendments. </w:t>
      </w:r>
      <w:r>
        <w:rPr>
          <w:rFonts w:ascii="Arial" w:cs="Arial" w:eastAsia="Arial" w:hAnsi="Arial"/>
          <w:sz w:val="22"/>
          <w:szCs w:val="22"/>
          <w:color w:val="auto"/>
        </w:rPr>
        <w:t>This Agreement (including the Appendix and any documents or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referred to herein) constitutes the entire agreement regarding the PSUs among the parties and supersedes all prior agreements, and understandings, both written and oral, among the parties with respect to the subject matter hereof. The Committee may amend this Agreement, provided that if the Committee determines, in its discretion, that an amendment of this Agreement is likely to materially impair the rights of the Grantee, such amendment will not be implemented without the consent of the Grantee, except to the extent that such amendment is required for compliance with applicable law, stock market or exchange rules and regulations, or accounting or tax rules and regulations.</w:t>
      </w:r>
    </w:p>
    <w:p>
      <w:pPr>
        <w:spacing w:after="0" w:line="205" w:lineRule="exact"/>
        <w:rPr>
          <w:sz w:val="20"/>
          <w:szCs w:val="20"/>
          <w:color w:val="auto"/>
        </w:rPr>
      </w:pPr>
    </w:p>
    <w:p>
      <w:pPr>
        <w:ind w:firstLine="488"/>
        <w:spacing w:after="0" w:line="261" w:lineRule="auto"/>
        <w:tabs>
          <w:tab w:leader="none" w:pos="9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and enforced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Florida, without regard to choice of law principles.</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7" w:name="page58"/>
    <w:bookmarkEnd w:id="57"/>
    <w:p>
      <w:pPr>
        <w:ind w:firstLine="601"/>
        <w:spacing w:after="0" w:line="259" w:lineRule="auto"/>
        <w:rPr>
          <w:sz w:val="20"/>
          <w:szCs w:val="20"/>
          <w:color w:val="auto"/>
        </w:rPr>
      </w:pPr>
      <w:r>
        <w:rPr>
          <w:rFonts w:ascii="Arial" w:cs="Arial" w:eastAsia="Arial" w:hAnsi="Arial"/>
          <w:sz w:val="22"/>
          <w:szCs w:val="22"/>
          <w:color w:val="auto"/>
        </w:rPr>
        <w:t>IN WITNESS WHEREOF, this Agreement has been executed and delivered by the parties as of the date first written above.</w:t>
      </w:r>
    </w:p>
    <w:p>
      <w:pPr>
        <w:spacing w:after="0" w:line="18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BROWN &amp; BROWN, INC.</w:t>
      </w:r>
    </w:p>
    <w:p>
      <w:pPr>
        <w:spacing w:after="0" w:line="200" w:lineRule="exact"/>
        <w:rPr>
          <w:sz w:val="20"/>
          <w:szCs w:val="20"/>
          <w:color w:val="auto"/>
        </w:rPr>
      </w:pPr>
    </w:p>
    <w:p>
      <w:pPr>
        <w:spacing w:after="0" w:line="276"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By: _______________________________</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R. Andrew Watts</w:t>
      </w:r>
    </w:p>
    <w:p>
      <w:pPr>
        <w:ind w:left="5780"/>
        <w:spacing w:after="0"/>
        <w:tabs>
          <w:tab w:leader="none" w:pos="6920" w:val="left"/>
          <w:tab w:leader="none" w:pos="7580" w:val="left"/>
          <w:tab w:leader="none" w:pos="8800" w:val="left"/>
          <w:tab w:leader="none" w:pos="9980" w:val="left"/>
        </w:tabs>
        <w:rPr>
          <w:sz w:val="20"/>
          <w:szCs w:val="20"/>
          <w:color w:val="auto"/>
        </w:rPr>
      </w:pPr>
      <w:r>
        <w:rPr>
          <w:rFonts w:ascii="Arial" w:cs="Arial" w:eastAsia="Arial" w:hAnsi="Arial"/>
          <w:sz w:val="22"/>
          <w:szCs w:val="22"/>
          <w:color w:val="auto"/>
        </w:rPr>
        <w:t>Executive</w:t>
        <w:tab/>
        <w:t>Vice</w:t>
        <w:tab/>
        <w:t>President,</w:t>
        <w:tab/>
        <w:t>Treasurer</w:t>
      </w:r>
      <w:r>
        <w:rPr>
          <w:sz w:val="20"/>
          <w:szCs w:val="20"/>
          <w:color w:val="auto"/>
        </w:rPr>
        <w:tab/>
      </w:r>
      <w:r>
        <w:rPr>
          <w:rFonts w:ascii="Arial" w:cs="Arial" w:eastAsia="Arial" w:hAnsi="Arial"/>
          <w:sz w:val="19"/>
          <w:szCs w:val="19"/>
          <w:color w:val="auto"/>
        </w:rPr>
        <w:t>&amp;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8" w:name="page59"/>
    <w:bookmarkEnd w:id="58"/>
    <w:p>
      <w:pPr>
        <w:jc w:val="center"/>
        <w:ind w:left="15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267970</wp:posOffset>
            </wp:positionH>
            <wp:positionV relativeFrom="page">
              <wp:posOffset>500380</wp:posOffset>
            </wp:positionV>
            <wp:extent cx="591185" cy="6083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591185" cy="608330"/>
                    </a:xfrm>
                    <a:prstGeom prst="rect">
                      <a:avLst/>
                    </a:prstGeom>
                    <a:noFill/>
                  </pic:spPr>
                </pic:pic>
              </a:graphicData>
            </a:graphic>
          </wp:anchor>
        </w:drawing>
        <w:t>BROWN &amp; BROWN, INC.</w:t>
      </w:r>
    </w:p>
    <w:p>
      <w:pPr>
        <w:spacing w:after="0" w:line="5" w:lineRule="exact"/>
        <w:rPr>
          <w:sz w:val="20"/>
          <w:szCs w:val="20"/>
          <w:color w:val="auto"/>
        </w:rPr>
      </w:pPr>
    </w:p>
    <w:p>
      <w:pPr>
        <w:jc w:val="center"/>
        <w:ind w:left="1580"/>
        <w:spacing w:after="0"/>
        <w:rPr>
          <w:sz w:val="20"/>
          <w:szCs w:val="20"/>
          <w:color w:val="auto"/>
        </w:rPr>
      </w:pPr>
      <w:r>
        <w:rPr>
          <w:rFonts w:ascii="Arial" w:cs="Arial" w:eastAsia="Arial" w:hAnsi="Arial"/>
          <w:sz w:val="22"/>
          <w:szCs w:val="22"/>
          <w:b w:val="1"/>
          <w:bCs w:val="1"/>
          <w:color w:val="auto"/>
        </w:rPr>
        <w:t>RESTRICTED STOCK UNIT AWARD AGREEMENT</w:t>
      </w:r>
    </w:p>
    <w:p>
      <w:pPr>
        <w:ind w:left="3040"/>
        <w:spacing w:after="0"/>
        <w:rPr>
          <w:sz w:val="20"/>
          <w:szCs w:val="20"/>
          <w:color w:val="auto"/>
        </w:rPr>
      </w:pPr>
      <w:r>
        <w:rPr>
          <w:rFonts w:ascii="Arial" w:cs="Arial" w:eastAsia="Arial" w:hAnsi="Arial"/>
          <w:sz w:val="20"/>
          <w:szCs w:val="20"/>
          <w:b w:val="1"/>
          <w:bCs w:val="1"/>
          <w:color w:val="auto"/>
        </w:rPr>
        <w:t>(Non-US Key Corporate Leaders / Profit Center Leaders / Other Leaders)</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 Number: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Grantee:</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Restricted Stock Units:</w:t>
      </w:r>
    </w:p>
    <w:p>
      <w:pPr>
        <w:spacing w:after="0" w:line="235" w:lineRule="exact"/>
        <w:rPr>
          <w:sz w:val="20"/>
          <w:szCs w:val="20"/>
          <w:color w:val="auto"/>
        </w:rPr>
      </w:pPr>
    </w:p>
    <w:p>
      <w:pPr>
        <w:jc w:val="both"/>
        <w:ind w:firstLine="480"/>
        <w:spacing w:after="0" w:line="238" w:lineRule="auto"/>
        <w:rPr>
          <w:sz w:val="20"/>
          <w:szCs w:val="20"/>
          <w:color w:val="auto"/>
        </w:rPr>
      </w:pPr>
      <w:r>
        <w:rPr>
          <w:rFonts w:ascii="Arial" w:cs="Arial" w:eastAsia="Arial" w:hAnsi="Arial"/>
          <w:sz w:val="22"/>
          <w:szCs w:val="22"/>
          <w:color w:val="auto"/>
        </w:rPr>
        <w:t>This Restricted Stock Unit Award Agreement (this “Agreement”) is entered into as of the date described above (the “Date of Grant”), between BROWN &amp; BROWN, INC., a Florida corporation (together with its subsidiaries, the “Company”) and the grantee described above (the “Grantee”), pursuant to the terms and conditions of the Brown &amp; Brown, Inc. 2019 Stock Incentive Plan, as amended (the “Plan”). Any term capitalized but not defined in this Agreement will have the meaning set forth in the Plan.</w:t>
      </w:r>
    </w:p>
    <w:p>
      <w:pPr>
        <w:spacing w:after="0" w:line="204" w:lineRule="exact"/>
        <w:rPr>
          <w:sz w:val="20"/>
          <w:szCs w:val="20"/>
          <w:color w:val="auto"/>
        </w:rPr>
      </w:pPr>
    </w:p>
    <w:p>
      <w:pPr>
        <w:jc w:val="both"/>
        <w:ind w:firstLine="480"/>
        <w:spacing w:after="0" w:line="234" w:lineRule="auto"/>
        <w:rPr>
          <w:sz w:val="20"/>
          <w:szCs w:val="20"/>
          <w:color w:val="auto"/>
        </w:rPr>
      </w:pPr>
      <w:r>
        <w:rPr>
          <w:rFonts w:ascii="Arial" w:cs="Arial" w:eastAsia="Arial" w:hAnsi="Arial"/>
          <w:sz w:val="22"/>
          <w:szCs w:val="22"/>
          <w:color w:val="auto"/>
        </w:rPr>
        <w:t>The Plan provides to the Compensation Committee of the Board of Directors of the Company (the "Committee") the discretion and authority to grant to Employees or Directors Awards of restricted rights to receive shares of the common stock of the Company, par value $.10 per share (each, a “Share”), subject to the terms and conditions of the Plan and any additional terms and conditions provided by the Committee. The Plan identifies such an Award as an Award of Restricted Stock Units. Pursuant to the terms of the Plan, the Committee desires to grant time-based restricted rights to receive Shares to the Grantee in the form of an Award of Restricted Stock Units, effective as of the Date of Grant. The Grantee desires to accept the Award of Restricted Stock Units and agrees to be bound by the terms and conditions of the Plan and this Agreement. Accordingly, the Company and the Grantee hereby agree to the restrictions, terms, and conditions set forth below.</w:t>
      </w:r>
    </w:p>
    <w:p>
      <w:pPr>
        <w:spacing w:after="0" w:line="208" w:lineRule="exact"/>
        <w:rPr>
          <w:sz w:val="20"/>
          <w:szCs w:val="20"/>
          <w:color w:val="auto"/>
        </w:rPr>
      </w:pPr>
    </w:p>
    <w:p>
      <w:pPr>
        <w:jc w:val="both"/>
        <w:ind w:firstLine="529"/>
        <w:spacing w:after="0" w:line="235" w:lineRule="auto"/>
        <w:tabs>
          <w:tab w:leader="none" w:pos="960"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The Company grants to the Grantee the number of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described above (the “RSUs”), effective as of the Date of Grant. Each RSU represents the right to receive a Share subject to the restrictions and conditions set forth in the Plan and this Agreement. The Grantee will have no rights as a shareholder of the Company, no dividend rights, and no voting rights with respect to the RSUs or the Shares underlying the RSUs unless and until the RSUs become vested and nonforfeitable in accordance with the terms and conditions of this Agreement, and the RSUs are settled and such Shares are delivered to the Grantee in accordance with Section 6 of this Agreement. Any entitlement to Dividend Equivalents will be in accordance with Section 7 of this Agreement.</w:t>
      </w:r>
    </w:p>
    <w:p>
      <w:pPr>
        <w:spacing w:after="0" w:line="205" w:lineRule="exact"/>
        <w:rPr>
          <w:rFonts w:ascii="Arial" w:cs="Arial" w:eastAsia="Arial" w:hAnsi="Arial"/>
          <w:sz w:val="22"/>
          <w:szCs w:val="22"/>
          <w:b w:val="1"/>
          <w:bCs w:val="1"/>
          <w:color w:val="auto"/>
        </w:rPr>
      </w:pPr>
    </w:p>
    <w:p>
      <w:pPr>
        <w:jc w:val="both"/>
        <w:ind w:firstLine="488"/>
        <w:spacing w:after="0" w:line="245" w:lineRule="auto"/>
        <w:tabs>
          <w:tab w:leader="none" w:pos="9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Country-Specific Provisions. </w:t>
      </w:r>
      <w:r>
        <w:rPr>
          <w:rFonts w:ascii="Arial" w:cs="Arial" w:eastAsia="Arial" w:hAnsi="Arial"/>
          <w:sz w:val="22"/>
          <w:szCs w:val="22"/>
          <w:color w:val="auto"/>
        </w:rPr>
        <w:t>Notwithstanding any provision of this Agreement to the contrary, the RSUs</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Shares issued pursuant to this Agreement will be subject to the applicable special terms and provisions, if any, for the Grantee’s country of residence (and country of employment, if different), as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9" w:name="page60"/>
    <w:bookmarkEnd w:id="59"/>
    <w:p>
      <w:pPr>
        <w:ind w:right="20"/>
        <w:spacing w:after="0" w:line="259" w:lineRule="auto"/>
        <w:rPr>
          <w:sz w:val="20"/>
          <w:szCs w:val="20"/>
          <w:color w:val="auto"/>
        </w:rPr>
      </w:pPr>
      <w:r>
        <w:rPr>
          <w:rFonts w:ascii="Arial" w:cs="Arial" w:eastAsia="Arial" w:hAnsi="Arial"/>
          <w:sz w:val="22"/>
          <w:szCs w:val="22"/>
          <w:color w:val="auto"/>
        </w:rPr>
        <w:t>Country-Specific Appendix (the “Appendix”) attached to this Agreement. The Appendix constitutes part of this Agreement.</w:t>
      </w:r>
    </w:p>
    <w:p>
      <w:pPr>
        <w:spacing w:after="0" w:line="181" w:lineRule="exact"/>
        <w:rPr>
          <w:sz w:val="20"/>
          <w:szCs w:val="20"/>
          <w:color w:val="auto"/>
        </w:rPr>
      </w:pPr>
    </w:p>
    <w:p>
      <w:pPr>
        <w:jc w:val="both"/>
        <w:ind w:firstLine="542"/>
        <w:spacing w:after="0" w:line="248" w:lineRule="auto"/>
        <w:tabs>
          <w:tab w:leader="none" w:pos="960" w:val="left"/>
        </w:tabs>
        <w:numPr>
          <w:ilvl w:val="2"/>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Employment Condition for Vesting of RSUs. </w:t>
      </w:r>
      <w:r>
        <w:rPr>
          <w:rFonts w:ascii="Arial" w:cs="Arial" w:eastAsia="Arial" w:hAnsi="Arial"/>
          <w:sz w:val="21"/>
          <w:szCs w:val="21"/>
          <w:color w:val="auto"/>
        </w:rPr>
        <w:t>Except as otherwise provided in Section 4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the event of a Termination After Change in Control or termination of the Grantee's employment with the Company as a result of the Grantee’s death or Disability, the Grantee's interest in the RSUs will become fully vested and nonforfeitable on the fifth (5th) anniversary of the Date of Grant, provided that the Grantee has been continuously employed by the Company since the Date of Grant, as determined in accordance with Section 13(e) of this Agreement. Except as otherwise provided in Section 4 of this Agreement, if the Grantee's employment terminates for any reason before the fifth (5th) anniversary of the Date of Grant, the Grantee's interest in the RSUs will be forfeited.</w:t>
      </w:r>
    </w:p>
    <w:p>
      <w:pPr>
        <w:spacing w:after="0" w:line="197" w:lineRule="exact"/>
        <w:rPr>
          <w:rFonts w:ascii="Arial" w:cs="Arial" w:eastAsia="Arial" w:hAnsi="Arial"/>
          <w:sz w:val="21"/>
          <w:szCs w:val="21"/>
          <w:b w:val="1"/>
          <w:bCs w:val="1"/>
          <w:color w:val="auto"/>
        </w:rPr>
      </w:pPr>
    </w:p>
    <w:p>
      <w:pPr>
        <w:jc w:val="both"/>
        <w:ind w:firstLine="502"/>
        <w:spacing w:after="0"/>
        <w:tabs>
          <w:tab w:leader="none" w:pos="960"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Treatment of RSUs Upon Termination After Change in Control or Termination of Employment as a Result of Death or Disability. </w:t>
      </w:r>
      <w:r>
        <w:rPr>
          <w:rFonts w:ascii="Arial" w:cs="Arial" w:eastAsia="Arial" w:hAnsi="Arial"/>
          <w:sz w:val="22"/>
          <w:szCs w:val="22"/>
          <w:color w:val="auto"/>
        </w:rPr>
        <w:t>The purpose of this Section 4 is to provide special rules that may apply to the RSUs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Termination After Change in Control or Termination of the Grantee’s employment with the Company as a result of the Grantee’s death or Disability.</w:t>
      </w:r>
    </w:p>
    <w:p>
      <w:pPr>
        <w:spacing w:after="0" w:line="203" w:lineRule="exact"/>
        <w:rPr>
          <w:rFonts w:ascii="Arial" w:cs="Arial" w:eastAsia="Arial" w:hAnsi="Arial"/>
          <w:sz w:val="22"/>
          <w:szCs w:val="22"/>
          <w:b w:val="1"/>
          <w:bCs w:val="1"/>
          <w:color w:val="auto"/>
        </w:rPr>
      </w:pPr>
    </w:p>
    <w:p>
      <w:pPr>
        <w:jc w:val="both"/>
        <w:ind w:firstLine="968"/>
        <w:spacing w:after="0" w:line="228" w:lineRule="auto"/>
        <w:tabs>
          <w:tab w:leader="none" w:pos="1440" w:val="left"/>
        </w:tabs>
        <w:numPr>
          <w:ilvl w:val="3"/>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After Change in Control. </w:t>
      </w:r>
      <w:r>
        <w:rPr>
          <w:rFonts w:ascii="Arial" w:cs="Arial" w:eastAsia="Arial" w:hAnsi="Arial"/>
          <w:sz w:val="22"/>
          <w:szCs w:val="22"/>
          <w:color w:val="auto"/>
        </w:rPr>
        <w:t>If the Grantee’s employment with the Company terminates by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of Termination After Change in Control (as defined below) prior to the 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of Grant, the unvested RSUs will become fully vested and nonforfeitable as of the date of such Termination After Change in Control. For purposes of this Agreement, the following definitions will apply:</w:t>
      </w:r>
    </w:p>
    <w:p>
      <w:pPr>
        <w:spacing w:after="0" w:line="203" w:lineRule="exact"/>
        <w:rPr>
          <w:rFonts w:ascii="Arial" w:cs="Arial" w:eastAsia="Arial" w:hAnsi="Arial"/>
          <w:sz w:val="22"/>
          <w:szCs w:val="22"/>
          <w:b w:val="1"/>
          <w:bCs w:val="1"/>
          <w:color w:val="auto"/>
        </w:rPr>
      </w:pPr>
    </w:p>
    <w:p>
      <w:pPr>
        <w:ind w:left="2200" w:hanging="483"/>
        <w:spacing w:after="0"/>
        <w:tabs>
          <w:tab w:leader="none" w:pos="2200" w:val="left"/>
        </w:tabs>
        <w:numPr>
          <w:ilvl w:val="4"/>
          <w:numId w:val="62"/>
        </w:numPr>
        <w:rPr>
          <w:rFonts w:ascii="Arial" w:cs="Arial" w:eastAsia="Arial" w:hAnsi="Arial"/>
          <w:sz w:val="21"/>
          <w:szCs w:val="21"/>
          <w:b w:val="1"/>
          <w:bCs w:val="1"/>
          <w:color w:val="auto"/>
        </w:rPr>
      </w:pPr>
      <w:r>
        <w:rPr>
          <w:rFonts w:ascii="Arial" w:cs="Arial" w:eastAsia="Arial" w:hAnsi="Arial"/>
          <w:sz w:val="21"/>
          <w:szCs w:val="21"/>
          <w:color w:val="auto"/>
        </w:rPr>
        <w:t>“Termination After Change in Control” will mean either of the following events occurring after a</w:t>
      </w:r>
    </w:p>
    <w:p>
      <w:pPr>
        <w:spacing w:after="0" w:line="21"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Change in Control:</w:t>
      </w:r>
    </w:p>
    <w:p>
      <w:pPr>
        <w:spacing w:after="0" w:line="213" w:lineRule="exact"/>
        <w:rPr>
          <w:rFonts w:ascii="Arial" w:cs="Arial" w:eastAsia="Arial" w:hAnsi="Arial"/>
          <w:sz w:val="21"/>
          <w:szCs w:val="21"/>
          <w:b w:val="1"/>
          <w:bCs w:val="1"/>
          <w:color w:val="auto"/>
        </w:rPr>
      </w:pPr>
    </w:p>
    <w:p>
      <w:pPr>
        <w:ind w:left="2440" w:hanging="485"/>
        <w:spacing w:after="0"/>
        <w:tabs>
          <w:tab w:leader="none" w:pos="2440" w:val="left"/>
        </w:tabs>
        <w:numPr>
          <w:ilvl w:val="6"/>
          <w:numId w:val="62"/>
        </w:numPr>
        <w:rPr>
          <w:rFonts w:ascii="Arial" w:cs="Arial" w:eastAsia="Arial" w:hAnsi="Arial"/>
          <w:sz w:val="21"/>
          <w:szCs w:val="21"/>
          <w:b w:val="1"/>
          <w:bCs w:val="1"/>
          <w:color w:val="auto"/>
        </w:rPr>
      </w:pPr>
      <w:r>
        <w:rPr>
          <w:rFonts w:ascii="Arial" w:cs="Arial" w:eastAsia="Arial" w:hAnsi="Arial"/>
          <w:sz w:val="21"/>
          <w:szCs w:val="21"/>
          <w:color w:val="auto"/>
        </w:rPr>
        <w:t>termination by the Company of the Grantee’s employment with the Company, within twelve</w:t>
      </w:r>
    </w:p>
    <w:p>
      <w:pPr>
        <w:spacing w:after="0" w:line="21" w:lineRule="exact"/>
        <w:rPr>
          <w:rFonts w:ascii="Arial" w:cs="Arial" w:eastAsia="Arial" w:hAnsi="Arial"/>
          <w:sz w:val="21"/>
          <w:szCs w:val="21"/>
          <w:b w:val="1"/>
          <w:bCs w:val="1"/>
          <w:color w:val="auto"/>
        </w:rPr>
      </w:pPr>
    </w:p>
    <w:p>
      <w:pPr>
        <w:ind w:left="460" w:hanging="452"/>
        <w:spacing w:after="0"/>
        <w:tabs>
          <w:tab w:leader="none" w:pos="4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months following a Change in Control, for any reason other than Termination for Cause (as defined below); or</w:t>
      </w:r>
    </w:p>
    <w:p>
      <w:pPr>
        <w:spacing w:after="0" w:line="213" w:lineRule="exact"/>
        <w:rPr>
          <w:rFonts w:ascii="Arial" w:cs="Arial" w:eastAsia="Arial" w:hAnsi="Arial"/>
          <w:sz w:val="22"/>
          <w:szCs w:val="22"/>
          <w:color w:val="auto"/>
        </w:rPr>
      </w:pPr>
    </w:p>
    <w:p>
      <w:pPr>
        <w:ind w:firstLine="1928"/>
        <w:spacing w:after="0" w:line="259" w:lineRule="auto"/>
        <w:tabs>
          <w:tab w:leader="none" w:pos="2400" w:val="left"/>
        </w:tabs>
        <w:numPr>
          <w:ilvl w:val="5"/>
          <w:numId w:val="63"/>
        </w:numPr>
        <w:rPr>
          <w:rFonts w:ascii="Arial" w:cs="Arial" w:eastAsia="Arial" w:hAnsi="Arial"/>
          <w:sz w:val="22"/>
          <w:szCs w:val="22"/>
          <w:b w:val="1"/>
          <w:bCs w:val="1"/>
          <w:color w:val="auto"/>
        </w:rPr>
      </w:pPr>
      <w:r>
        <w:rPr>
          <w:rFonts w:ascii="Arial" w:cs="Arial" w:eastAsia="Arial" w:hAnsi="Arial"/>
          <w:sz w:val="22"/>
          <w:szCs w:val="22"/>
          <w:color w:val="auto"/>
        </w:rPr>
        <w:t>upon Grantee’s Constructive Termination (as defined below), the Grantee’s resignation from employment with the Company within twelve (12) months following the Change in Control.</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Notwithstanding any provision herein to the contrary, Termination After Change in Control will not include any termination of the Grantee’s employment with the Company which: (i) is a Termination for Cause (as defined below);</w:t>
      </w:r>
    </w:p>
    <w:p>
      <w:pPr>
        <w:spacing w:after="0" w:line="1" w:lineRule="exact"/>
        <w:rPr>
          <w:sz w:val="20"/>
          <w:szCs w:val="20"/>
          <w:color w:val="auto"/>
        </w:rPr>
      </w:pPr>
    </w:p>
    <w:p>
      <w:pPr>
        <w:jc w:val="both"/>
        <w:ind w:firstLine="8"/>
        <w:spacing w:after="0" w:line="237" w:lineRule="auto"/>
        <w:tabs>
          <w:tab w:leader="none" w:pos="305" w:val="left"/>
        </w:tabs>
        <w:numPr>
          <w:ilvl w:val="0"/>
          <w:numId w:val="64"/>
        </w:numPr>
        <w:rPr>
          <w:rFonts w:ascii="Arial" w:cs="Arial" w:eastAsia="Arial" w:hAnsi="Arial"/>
          <w:sz w:val="22"/>
          <w:szCs w:val="22"/>
          <w:color w:val="auto"/>
        </w:rPr>
      </w:pPr>
      <w:r>
        <w:rPr>
          <w:rFonts w:ascii="Arial" w:cs="Arial" w:eastAsia="Arial" w:hAnsi="Arial"/>
          <w:sz w:val="22"/>
          <w:szCs w:val="22"/>
          <w:color w:val="auto"/>
        </w:rPr>
        <w:t>is a result of the Grantee’s death or Disability; (iii) is a result of the Grantee’s voluntary termination of employment with the Company other than upon Constructive Termination (as defined below); or (iv) occurs prior to the effectiveness of a Change in Control.</w:t>
      </w:r>
    </w:p>
    <w:p>
      <w:pPr>
        <w:spacing w:after="0" w:line="202" w:lineRule="exact"/>
        <w:rPr>
          <w:rFonts w:ascii="Arial" w:cs="Arial" w:eastAsia="Arial" w:hAnsi="Arial"/>
          <w:sz w:val="22"/>
          <w:szCs w:val="22"/>
          <w:color w:val="auto"/>
        </w:rPr>
      </w:pPr>
    </w:p>
    <w:p>
      <w:pPr>
        <w:ind w:firstLine="1448"/>
        <w:spacing w:after="0" w:line="259" w:lineRule="auto"/>
        <w:tabs>
          <w:tab w:leader="none" w:pos="1920"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“Termination for Cause” will mean termination by the Company of the Grantee’s employment with the Company for any of the following</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0" w:name="page61"/>
    <w:bookmarkEnd w:id="60"/>
    <w:p>
      <w:pPr>
        <w:jc w:val="both"/>
        <w:spacing w:after="0" w:line="236" w:lineRule="auto"/>
        <w:rPr>
          <w:sz w:val="20"/>
          <w:szCs w:val="20"/>
          <w:color w:val="auto"/>
        </w:rPr>
      </w:pPr>
      <w:r>
        <w:rPr>
          <w:rFonts w:ascii="Arial" w:cs="Arial" w:eastAsia="Arial" w:hAnsi="Arial"/>
          <w:sz w:val="22"/>
          <w:szCs w:val="22"/>
          <w:color w:val="auto"/>
        </w:rPr>
        <w:t>reasons: (i) theft, dishonesty, or falsification of any employment or Company records; (ii) the Grantee’s failure or inability to perform any reasonable assigned duties after written notice from the Company of, and a reasonable opportunity to cure, such continued failure or inability; (iii) any material breach by the Grantee of any employment agreement between the Grantee and Company, which breach is not cured pursuant to the terms of such agreement; or (iv) the Grantee’s conviction of any criminal act which, in the Company’s discretion, impairs Grantee’s ability to perform his or her duties with the Company. Termination for Cause pursuant to the foregoing will be determined in the discretion of the Company.</w:t>
      </w:r>
    </w:p>
    <w:p>
      <w:pPr>
        <w:spacing w:after="0" w:line="203" w:lineRule="exact"/>
        <w:rPr>
          <w:sz w:val="20"/>
          <w:szCs w:val="20"/>
          <w:color w:val="auto"/>
        </w:rPr>
      </w:pPr>
    </w:p>
    <w:p>
      <w:pPr>
        <w:ind w:left="1920" w:hanging="472"/>
        <w:spacing w:after="0"/>
        <w:tabs>
          <w:tab w:leader="none" w:pos="192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“Constructive Termination” will mean any one or more of the following:</w:t>
      </w:r>
    </w:p>
    <w:p>
      <w:pPr>
        <w:spacing w:after="0" w:line="233" w:lineRule="exact"/>
        <w:rPr>
          <w:rFonts w:ascii="Arial" w:cs="Arial" w:eastAsia="Arial" w:hAnsi="Arial"/>
          <w:sz w:val="22"/>
          <w:szCs w:val="22"/>
          <w:b w:val="1"/>
          <w:bCs w:val="1"/>
          <w:color w:val="auto"/>
        </w:rPr>
      </w:pPr>
    </w:p>
    <w:p>
      <w:pPr>
        <w:jc w:val="both"/>
        <w:ind w:firstLine="1942"/>
        <w:spacing w:after="0"/>
        <w:tabs>
          <w:tab w:leader="none" w:pos="2400" w:val="left"/>
        </w:tabs>
        <w:numPr>
          <w:ilvl w:val="1"/>
          <w:numId w:val="65"/>
        </w:numPr>
        <w:rPr>
          <w:rFonts w:ascii="Arial" w:cs="Arial" w:eastAsia="Arial" w:hAnsi="Arial"/>
          <w:sz w:val="22"/>
          <w:szCs w:val="22"/>
          <w:b w:val="1"/>
          <w:bCs w:val="1"/>
          <w:color w:val="auto"/>
        </w:rPr>
      </w:pPr>
      <w:r>
        <w:rPr>
          <w:rFonts w:ascii="Arial" w:cs="Arial" w:eastAsia="Arial" w:hAnsi="Arial"/>
          <w:sz w:val="22"/>
          <w:szCs w:val="22"/>
          <w:color w:val="auto"/>
        </w:rPr>
        <w:t>without the Grantee’s express written consent, the assignment to the Grantee of any duties, or any limitation of the Grantee’s responsibilities, substantially inconsistent with and resulting in a material diminution of the Grantee’s positions, duties, responsibilities and status with the Company immediately prior to the date of a Change in Control;</w:t>
      </w:r>
    </w:p>
    <w:p>
      <w:pPr>
        <w:spacing w:after="0" w:line="203" w:lineRule="exact"/>
        <w:rPr>
          <w:rFonts w:ascii="Arial" w:cs="Arial" w:eastAsia="Arial" w:hAnsi="Arial"/>
          <w:sz w:val="22"/>
          <w:szCs w:val="22"/>
          <w:b w:val="1"/>
          <w:bCs w:val="1"/>
          <w:color w:val="auto"/>
        </w:rPr>
      </w:pPr>
    </w:p>
    <w:p>
      <w:pPr>
        <w:ind w:firstLine="2009"/>
        <w:spacing w:after="0" w:line="238" w:lineRule="auto"/>
        <w:tabs>
          <w:tab w:leader="none" w:pos="2400" w:val="left"/>
        </w:tabs>
        <w:numPr>
          <w:ilvl w:val="2"/>
          <w:numId w:val="65"/>
        </w:numPr>
        <w:rPr>
          <w:rFonts w:ascii="Arial" w:cs="Arial" w:eastAsia="Arial" w:hAnsi="Arial"/>
          <w:sz w:val="22"/>
          <w:szCs w:val="22"/>
          <w:b w:val="1"/>
          <w:bCs w:val="1"/>
          <w:color w:val="auto"/>
        </w:rPr>
      </w:pPr>
      <w:r>
        <w:rPr>
          <w:rFonts w:ascii="Arial" w:cs="Arial" w:eastAsia="Arial" w:hAnsi="Arial"/>
          <w:sz w:val="22"/>
          <w:szCs w:val="22"/>
          <w:color w:val="auto"/>
        </w:rPr>
        <w:t>without the Grantee’s express written consent, the relocation of the principal place of the Grantee’s employment to a location that is more than fifty (50) miles from the Grantee’s principal place of employment immediately prior to the date of a Change in Control, or the imposition of travel requirements substantially more demanding of the Grantee than such travel requirements existing immediately prior to the date of a Change in Control;</w:t>
      </w:r>
    </w:p>
    <w:p>
      <w:pPr>
        <w:spacing w:after="0" w:line="203" w:lineRule="exact"/>
        <w:rPr>
          <w:rFonts w:ascii="Arial" w:cs="Arial" w:eastAsia="Arial" w:hAnsi="Arial"/>
          <w:sz w:val="22"/>
          <w:szCs w:val="22"/>
          <w:b w:val="1"/>
          <w:bCs w:val="1"/>
          <w:color w:val="auto"/>
        </w:rPr>
      </w:pPr>
    </w:p>
    <w:p>
      <w:pPr>
        <w:ind w:firstLine="2023"/>
        <w:spacing w:after="0" w:line="236" w:lineRule="auto"/>
        <w:tabs>
          <w:tab w:leader="none" w:pos="2400" w:val="left"/>
        </w:tabs>
        <w:numPr>
          <w:ilvl w:val="3"/>
          <w:numId w:val="65"/>
        </w:numPr>
        <w:rPr>
          <w:rFonts w:ascii="Arial" w:cs="Arial" w:eastAsia="Arial" w:hAnsi="Arial"/>
          <w:sz w:val="22"/>
          <w:szCs w:val="22"/>
          <w:b w:val="1"/>
          <w:bCs w:val="1"/>
          <w:color w:val="auto"/>
        </w:rPr>
      </w:pPr>
      <w:r>
        <w:rPr>
          <w:rFonts w:ascii="Arial" w:cs="Arial" w:eastAsia="Arial" w:hAnsi="Arial"/>
          <w:sz w:val="22"/>
          <w:szCs w:val="22"/>
          <w:color w:val="auto"/>
        </w:rPr>
        <w:t>any failure by the Company to pay, or any material reduction by the Company of, (i) the Grantee’s base salary in effect immediately prior to the date of the Change in Control (unless comparable reductions are concurrently made for all other employees of the Company with responsibilities, organizational level and title comparable to the Grantee’s), or (ii) the Grantee’s bonus compensation, if any, in effect immediately prior to the date of the Change in Control (subject to applicable performance requirements with respect to the actual amount of bonus compensation earned by the Grantee); or</w:t>
      </w:r>
    </w:p>
    <w:p>
      <w:pPr>
        <w:spacing w:after="0" w:line="209" w:lineRule="exact"/>
        <w:rPr>
          <w:sz w:val="20"/>
          <w:szCs w:val="20"/>
          <w:color w:val="auto"/>
        </w:rPr>
      </w:pPr>
    </w:p>
    <w:p>
      <w:pPr>
        <w:ind w:firstLine="2009"/>
        <w:spacing w:after="0" w:line="234" w:lineRule="auto"/>
        <w:tabs>
          <w:tab w:leader="none" w:pos="2400"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any failure by the Company to (i) continue to provide the Grantee with the opportunity to participate, on terms no less favorable than those in effect for the benefit of any employee group which customarily includes a person holding the employment position or a comparable position with the Company then held by the Grantee, in any benefit or compensation plans and programs, including, but not limited to, the Company’s life, disability, health, dental, medical, savings, profit sharing, stock purchase and retirement plans, if any, in which the Grantee was participating immediately prior to the date of the Change in Control, or their equivalent, or (ii) provide the Grantee with all other fringe benefits (or their equivalent) from time to time in effect for the benefit of any employee group which customarily includes a person holding the employment position or a comparable position with the Company then held by the Grantee;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1" w:name="page62"/>
    <w:bookmarkEnd w:id="61"/>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must provide written notice to the Company of the existence of one or more adverse conditions specified in clauses (A) through (D) above within ninety (90) days of the initial existence of the adverse condition(s), and the effective date of the Grantee’s resignation must be within one (1) year following the effective date of the occurrence of the applicable adverse condition(s). Notwithstanding the foregoing provisions of this definition of Constructive Termination, if the Company remedies the adverse condition(s) within thirty (30) days of being notified of the adverse condition, no Constructive Termination will occur.</w:t>
      </w:r>
    </w:p>
    <w:p>
      <w:pPr>
        <w:spacing w:after="0" w:line="207" w:lineRule="exact"/>
        <w:rPr>
          <w:sz w:val="20"/>
          <w:szCs w:val="20"/>
          <w:color w:val="auto"/>
        </w:rPr>
      </w:pPr>
    </w:p>
    <w:p>
      <w:pPr>
        <w:jc w:val="both"/>
        <w:ind w:firstLine="1264"/>
        <w:spacing w:after="0"/>
        <w:tabs>
          <w:tab w:leader="none" w:pos="1709" w:val="left"/>
        </w:tabs>
        <w:numPr>
          <w:ilvl w:val="3"/>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Employment as a Result of Death or Disability. </w:t>
      </w:r>
      <w:r>
        <w:rPr>
          <w:rFonts w:ascii="Arial" w:cs="Arial" w:eastAsia="Arial" w:hAnsi="Arial"/>
          <w:sz w:val="22"/>
          <w:szCs w:val="22"/>
          <w:color w:val="auto"/>
        </w:rPr>
        <w:t>If the Grantee’s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terminates as a result of Grantee’s death or Disability before the Grantee's interest in the RSUs becomes fully vested and nonforfeitable or is forfeited, the RSUs will become fully vested and nonforfeitable on the date on which the Grantee's employment with the Company terminates.</w:t>
      </w:r>
    </w:p>
    <w:p>
      <w:pPr>
        <w:spacing w:after="0" w:line="203" w:lineRule="exact"/>
        <w:rPr>
          <w:rFonts w:ascii="Arial" w:cs="Arial" w:eastAsia="Arial" w:hAnsi="Arial"/>
          <w:sz w:val="22"/>
          <w:szCs w:val="22"/>
          <w:b w:val="1"/>
          <w:bCs w:val="1"/>
          <w:color w:val="auto"/>
        </w:rPr>
      </w:pPr>
    </w:p>
    <w:p>
      <w:pPr>
        <w:jc w:val="both"/>
        <w:ind w:firstLine="488"/>
        <w:spacing w:after="0" w:line="236" w:lineRule="auto"/>
        <w:tabs>
          <w:tab w:leader="none" w:pos="9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in Number of RSUs. </w:t>
      </w:r>
      <w:r>
        <w:rPr>
          <w:rFonts w:ascii="Arial" w:cs="Arial" w:eastAsia="Arial" w:hAnsi="Arial"/>
          <w:sz w:val="22"/>
          <w:szCs w:val="22"/>
          <w:color w:val="auto"/>
        </w:rPr>
        <w:t>If the Shares underlying the RSUs are changed into or exchanged for a</w:t>
      </w:r>
      <w:r>
        <w:rPr>
          <w:rFonts w:ascii="Arial" w:cs="Arial" w:eastAsia="Arial" w:hAnsi="Arial"/>
          <w:sz w:val="22"/>
          <w:szCs w:val="22"/>
          <w:b w:val="1"/>
          <w:bCs w:val="1"/>
          <w:color w:val="auto"/>
        </w:rPr>
        <w:t xml:space="preserve"> </w:t>
      </w:r>
      <w:r>
        <w:rPr>
          <w:rFonts w:ascii="Arial" w:cs="Arial" w:eastAsia="Arial" w:hAnsi="Arial"/>
          <w:sz w:val="22"/>
          <w:szCs w:val="22"/>
          <w:color w:val="auto"/>
        </w:rPr>
        <w:t>different number or kind of shares of the Company or other securities of the Company by reason of merger, consolidation, recapitalization, reclassification, stock split, stock dividend or combination of shares, the number and kind of RSUs will be equitably adjusted to reflect such changes in accordance with the Plan. Any such adjustment made by the Company's Board of Directors or the Committee will be final and binding upon the Grantee, the Company, their respective heirs, administrators, personal representatives, successors, assigns, and all other interested persons.</w:t>
      </w:r>
    </w:p>
    <w:p>
      <w:pPr>
        <w:spacing w:after="0" w:line="202" w:lineRule="exact"/>
        <w:rPr>
          <w:rFonts w:ascii="Arial" w:cs="Arial" w:eastAsia="Arial" w:hAnsi="Arial"/>
          <w:sz w:val="22"/>
          <w:szCs w:val="22"/>
          <w:b w:val="1"/>
          <w:bCs w:val="1"/>
          <w:color w:val="auto"/>
        </w:rPr>
      </w:pPr>
    </w:p>
    <w:p>
      <w:pPr>
        <w:ind w:left="960" w:hanging="472"/>
        <w:spacing w:after="0"/>
        <w:tabs>
          <w:tab w:leader="none" w:pos="9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RSUs.</w:t>
      </w:r>
    </w:p>
    <w:p>
      <w:pPr>
        <w:spacing w:after="0" w:line="233"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Timing of Settlement. </w:t>
      </w:r>
      <w:r>
        <w:rPr>
          <w:rFonts w:ascii="Arial" w:cs="Arial" w:eastAsia="Arial" w:hAnsi="Arial"/>
          <w:sz w:val="22"/>
          <w:szCs w:val="22"/>
          <w:color w:val="auto"/>
        </w:rPr>
        <w:t>Unless and until the RSUs become vested and nonforfeitable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and conditions of this Agreement, the Grantee will have no right to settlement of the RSUs. On or as soon as administratively practicable (and no later than thirty (30) days) after the applicable date of vesting under Section 3 or Section 4 of this Agreement, the Company will settle the vested RSUs by delivering to the Grantee (or the Grantee’s beneficiary in the event of death) a number of Shares equal to the number of RSUs that have become vested and nonforfeitable and are to be settled at the applicable settlement date, subject to the provisions of Section 10 of this Agreement relating to tax withholding. The Grantee will have no influence on any determination as to the tax year in which settlement will be made during a specified period following the date or event that triggers a right to settlement.</w:t>
      </w:r>
    </w:p>
    <w:p>
      <w:pPr>
        <w:spacing w:after="0" w:line="200" w:lineRule="exact"/>
        <w:rPr>
          <w:rFonts w:ascii="Arial" w:cs="Arial" w:eastAsia="Arial" w:hAnsi="Arial"/>
          <w:sz w:val="22"/>
          <w:szCs w:val="22"/>
          <w:b w:val="1"/>
          <w:bCs w:val="1"/>
          <w:color w:val="auto"/>
        </w:rPr>
      </w:pPr>
    </w:p>
    <w:p>
      <w:pPr>
        <w:jc w:val="both"/>
        <w:ind w:firstLine="1063"/>
        <w:spacing w:after="0" w:line="238" w:lineRule="auto"/>
        <w:tabs>
          <w:tab w:leader="none" w:pos="1440" w:val="left"/>
        </w:tabs>
        <w:numPr>
          <w:ilvl w:val="2"/>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Manner of Settlement; No Fractional Shares. </w:t>
      </w:r>
      <w:r>
        <w:rPr>
          <w:rFonts w:ascii="Arial" w:cs="Arial" w:eastAsia="Arial" w:hAnsi="Arial"/>
          <w:sz w:val="22"/>
          <w:szCs w:val="22"/>
          <w:color w:val="auto"/>
        </w:rPr>
        <w:t>Subject to the provisions of Section 10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relating to tax withholding, upon settlement of the RSUs that are to be settled at the applicable settlement date, the delivery to the Grantee of the number of Shares equal to the number of settled RSUs will be, at the Company’s option, evidenced by a Share certificate delivered to the Grantee, or other physical or electronic evidence of Share ownership, including, without limitation, deposit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22"/>
          <w:szCs w:val="22"/>
          <w:color w:val="auto"/>
        </w:rPr>
        <w:t>of Shares into a stock brokerage account maintained for the Grantee or credit to a book-entry account for the benefit of the Grantee maintained by the Company’s stock transfer agent or its designee. Notwithstanding any provision of this Agreement to the contrary, any fractional Share that would otherwise result from the application of any provision of this Agreement will be rounded down to the nearest whole number, as determined by the Committee in its discretion.</w:t>
      </w:r>
    </w:p>
    <w:p>
      <w:pPr>
        <w:spacing w:after="0" w:line="202" w:lineRule="exact"/>
        <w:rPr>
          <w:sz w:val="20"/>
          <w:szCs w:val="20"/>
          <w:color w:val="auto"/>
        </w:rPr>
      </w:pPr>
    </w:p>
    <w:p>
      <w:pPr>
        <w:jc w:val="both"/>
        <w:ind w:firstLine="1009"/>
        <w:spacing w:after="0" w:line="235" w:lineRule="auto"/>
        <w:tabs>
          <w:tab w:leader="none" w:pos="144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Settlement. </w:t>
      </w:r>
      <w:r>
        <w:rPr>
          <w:rFonts w:ascii="Arial" w:cs="Arial" w:eastAsia="Arial" w:hAnsi="Arial"/>
          <w:sz w:val="22"/>
          <w:szCs w:val="22"/>
          <w:color w:val="auto"/>
        </w:rPr>
        <w:t>Neither the Grantee nor any beneficiary of the Grantee will have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interest in any RSUs that have been settled. The Company retains discretion to determine the settlement date in accordance with Section 6(a) of this Agreement and the terms of the Plan, and no Grantee or beneficiary of a Grantee will have any claim for damages or loss by virtue of the fact that the market price of the Shares was higher on a given date upon which settlement could have been made as compared to the market price on or after the actual settlement date. The Company will not be liable for any foreign exchange rate fluctuation between the Grantee's local currency and the U.S. Dollar that may affect the value of the RSUs or of any amounts due to the Grantee pursuant to the RSUs or the subsequent sale of any Shares acquired under the Plan.</w:t>
      </w:r>
    </w:p>
    <w:p>
      <w:pPr>
        <w:spacing w:after="0" w:line="205" w:lineRule="exact"/>
        <w:rPr>
          <w:rFonts w:ascii="Arial" w:cs="Arial" w:eastAsia="Arial" w:hAnsi="Arial"/>
          <w:sz w:val="22"/>
          <w:szCs w:val="22"/>
          <w:b w:val="1"/>
          <w:bCs w:val="1"/>
          <w:color w:val="auto"/>
        </w:rPr>
      </w:pPr>
    </w:p>
    <w:p>
      <w:pPr>
        <w:jc w:val="both"/>
        <w:ind w:firstLine="488"/>
        <w:spacing w:after="0" w:line="234" w:lineRule="auto"/>
        <w:tabs>
          <w:tab w:leader="none" w:pos="9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The Plan provides that this Agreement may include provisions for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Equivalents (defined below). For purposes of the Plan and this Agreement, a </w:t>
      </w:r>
      <w:r>
        <w:rPr>
          <w:rFonts w:ascii="Arial" w:cs="Arial" w:eastAsia="Arial" w:hAnsi="Arial"/>
          <w:sz w:val="22"/>
          <w:szCs w:val="22"/>
          <w:b w:val="1"/>
          <w:bCs w:val="1"/>
          <w:color w:val="auto"/>
        </w:rPr>
        <w:t>“</w:t>
      </w:r>
      <w:r>
        <w:rPr>
          <w:rFonts w:ascii="Arial" w:cs="Arial" w:eastAsia="Arial" w:hAnsi="Arial"/>
          <w:sz w:val="22"/>
          <w:szCs w:val="22"/>
          <w:color w:val="auto"/>
        </w:rPr>
        <w:t>Dividend Equivalent</w:t>
      </w:r>
      <w:r>
        <w:rPr>
          <w:rFonts w:ascii="Arial" w:cs="Arial" w:eastAsia="Arial" w:hAnsi="Arial"/>
          <w:sz w:val="22"/>
          <w:szCs w:val="22"/>
          <w:b w:val="1"/>
          <w:bCs w:val="1"/>
          <w:color w:val="auto"/>
        </w:rPr>
        <w:t>”</w:t>
      </w:r>
      <w:r>
        <w:rPr>
          <w:rFonts w:ascii="Arial" w:cs="Arial" w:eastAsia="Arial" w:hAnsi="Arial"/>
          <w:sz w:val="22"/>
          <w:szCs w:val="22"/>
          <w:color w:val="auto"/>
        </w:rPr>
        <w:t xml:space="preserve"> is a right to receive a payment equal to the amount of cash dividends and value of other distributions that would have been payable on a Share subject to a RSU during a period of time had such Share been issued to the Grantee during such period of time. Except as otherwise provided in the Appendix, if a cash dividend is declared on Shares during the period beginning on the Date of Grant and ending on the date that Shares are issued in settlement of RSUs, the Grantee will accrue Dividend Equivalents on the RSUs equal to the cash dividend or distribution that would have been paid on the RSUs had the RSUs been issued and outstanding Shares on the record date for the dividend or distribution. Dividend Equivalents will not be paid with respect to RSUs that have been forfeited. Accrued Dividend Equivalents will be denominated and payable solely in cash, and will be paid by the Company directly to the Grantee no later than thirty (30) days following the applicable dividend payment date.</w:t>
      </w:r>
    </w:p>
    <w:p>
      <w:pPr>
        <w:spacing w:after="0" w:line="202" w:lineRule="exact"/>
        <w:rPr>
          <w:rFonts w:ascii="Arial" w:cs="Arial" w:eastAsia="Arial" w:hAnsi="Arial"/>
          <w:sz w:val="22"/>
          <w:szCs w:val="22"/>
          <w:b w:val="1"/>
          <w:bCs w:val="1"/>
          <w:color w:val="auto"/>
        </w:rPr>
      </w:pPr>
    </w:p>
    <w:p>
      <w:pPr>
        <w:jc w:val="both"/>
        <w:ind w:firstLine="488"/>
        <w:spacing w:after="0" w:line="237" w:lineRule="auto"/>
        <w:tabs>
          <w:tab w:leader="none" w:pos="9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Committee will have the power to interpret this Agreement and to adopt such rules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administration, interpretation, and application of the Agreement as are consistent with the Plan, and to interpret or revoke any such rules. All actions taken and all interpretations and determinations made by the Committee in good faith will be final and binding upon the Grantee, the Company, and all other interested persons. No member of the Committee will be personally liable for any action, determination or interpretation made in good faith with respect to the Plan or this Agreement or any similar agreement to which the Company is a party.</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3" w:name="page64"/>
    <w:bookmarkEnd w:id="63"/>
    <w:p>
      <w:pPr>
        <w:ind w:left="960" w:hanging="472"/>
        <w:spacing w:after="0"/>
        <w:tabs>
          <w:tab w:leader="none" w:pos="9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w:t>
      </w:r>
    </w:p>
    <w:p>
      <w:pPr>
        <w:spacing w:after="0" w:line="233" w:lineRule="exact"/>
        <w:rPr>
          <w:rFonts w:ascii="Arial" w:cs="Arial" w:eastAsia="Arial" w:hAnsi="Arial"/>
          <w:sz w:val="22"/>
          <w:szCs w:val="22"/>
          <w:b w:val="1"/>
          <w:bCs w:val="1"/>
          <w:color w:val="auto"/>
        </w:rPr>
      </w:pPr>
    </w:p>
    <w:p>
      <w:pPr>
        <w:jc w:val="both"/>
        <w:ind w:firstLine="1049"/>
        <w:spacing w:after="0" w:line="237" w:lineRule="auto"/>
        <w:tabs>
          <w:tab w:leader="none" w:pos="1440" w:val="left"/>
        </w:tabs>
        <w:numPr>
          <w:ilvl w:val="3"/>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Neither the RSUs nor any interest or right therein or part thereof will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9 will not prevent transfers by will or by the applicable laws of descent and distribution or by a beneficiary designation in accordance with this Section 9.</w:t>
      </w:r>
    </w:p>
    <w:p>
      <w:pPr>
        <w:spacing w:after="0" w:line="202"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2"/>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Designations. </w:t>
      </w:r>
      <w:r>
        <w:rPr>
          <w:rFonts w:ascii="Arial" w:cs="Arial" w:eastAsia="Arial" w:hAnsi="Arial"/>
          <w:sz w:val="22"/>
          <w:szCs w:val="22"/>
          <w:color w:val="auto"/>
        </w:rPr>
        <w:t>The Grantee may designate a beneficiary or beneficiaries to exercise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receive any benefits with respect to the RSUs following the Grantee’s death. To be effective, such designation must be made in accordance with such procedures and in such written or electronic form as prescribed by the Company (or its designee) for such purpose. If the Grantee fails to designate a beneficiary, or if no designated beneficiary survives the Grantee’s death, the Grantee’s estate will be deemed the Grantee’s beneficiary. A beneficiary designation may be changed or revoked by the Grantee’s sole action, provided that the change or revocation is made in accordance with such procedures and in such written or electronic form as prescribed by the Company (or its designee) for such purpose. Unless otherwise provided in the beneficiary designation, each designation made by the Grantee will revoke all prior designations made by the Grantee.</w:t>
      </w:r>
    </w:p>
    <w:p>
      <w:pPr>
        <w:spacing w:after="0" w:line="200" w:lineRule="exact"/>
        <w:rPr>
          <w:rFonts w:ascii="Arial" w:cs="Arial" w:eastAsia="Arial" w:hAnsi="Arial"/>
          <w:sz w:val="22"/>
          <w:szCs w:val="22"/>
          <w:b w:val="1"/>
          <w:bCs w:val="1"/>
          <w:color w:val="auto"/>
        </w:rPr>
      </w:pPr>
    </w:p>
    <w:p>
      <w:pPr>
        <w:jc w:val="both"/>
        <w:ind w:firstLine="515"/>
        <w:spacing w:after="0" w:line="244" w:lineRule="auto"/>
        <w:tabs>
          <w:tab w:leader="none" w:pos="960" w:val="left"/>
        </w:tabs>
        <w:numPr>
          <w:ilvl w:val="1"/>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Withholding. </w:t>
      </w:r>
      <w:r>
        <w:rPr>
          <w:rFonts w:ascii="Arial" w:cs="Arial" w:eastAsia="Arial" w:hAnsi="Arial"/>
          <w:sz w:val="21"/>
          <w:szCs w:val="21"/>
          <w:color w:val="auto"/>
        </w:rPr>
        <w:t>The Grantee understands and agrees that the Company has the power and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deduct, withhold, or collect any income tax, universal social charge, social insurance or social security contribution, payroll tax, or other amount required by law or regulation to be withheld with respect to any taxable event arising on or related to the granting or vesting of the RSUs (collectively, the “Withholding Amount”). The Grantee authorizes the Company to satisfy the obligations with regard to the Withholding Amount by one or a combination of the following: (i) withholding of Shares to be delivered upon settlement of vested RSUs, provided the Company only withholds the number of Shares necessary to satisfy no more than the maximum applicable statutory withholding amounts; (ii) withholding from other amounts payable to the Grantee by the Company; (iii) withholding from proceeds of the sale of Shares to be delivered upon settlement of vested RSUs by the Company or its designee; (iv) Grantee’s payment of a cash amount (including by check representing readily available funds or a wire transfer); or (v) any other arrangement approved by the Committee and permitted under applicable law. The Withholding Amount may relate to amounts due in more than one jurisdiction and in all cases will be as determined by the Company in its discretion. If the obligation for the Withholding Amount is satisfied by withholding in Shares, for tax purposes, the Grantee is deemed to have been issued the full number of Shares subject to the vested RSUs.</w:t>
      </w:r>
    </w:p>
    <w:p>
      <w:pPr>
        <w:spacing w:after="0" w:line="208" w:lineRule="exact"/>
        <w:rPr>
          <w:sz w:val="20"/>
          <w:szCs w:val="20"/>
          <w:color w:val="auto"/>
        </w:rPr>
      </w:pPr>
    </w:p>
    <w:p>
      <w:pPr>
        <w:ind w:firstLine="488"/>
        <w:spacing w:after="0" w:line="261" w:lineRule="auto"/>
        <w:tabs>
          <w:tab w:leader="none" w:pos="9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 to be given under the terms of this Agreement to the Company will be addressed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care of its Secretary and any notice to be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 w:name="page65"/>
    <w:bookmarkEnd w:id="64"/>
    <w:p>
      <w:pPr>
        <w:jc w:val="both"/>
        <w:spacing w:after="0" w:line="235" w:lineRule="auto"/>
        <w:rPr>
          <w:sz w:val="20"/>
          <w:szCs w:val="20"/>
          <w:color w:val="auto"/>
        </w:rPr>
      </w:pPr>
      <w:r>
        <w:rPr>
          <w:rFonts w:ascii="Arial" w:cs="Arial" w:eastAsia="Arial" w:hAnsi="Arial"/>
          <w:sz w:val="22"/>
          <w:szCs w:val="22"/>
          <w:color w:val="auto"/>
        </w:rPr>
        <w:t>given to the Grantee will be addressed to the address on file for the Grantee with the Company’s Payroll Department. By a notice given pursuant to this Section 11, either party may hereafter designate a different address for notices to be given to such party. Any notice required to be given to the Grantee will, if the Grantee is then deceased, be given to the Grantee's personal representative if such representative has previously informed the Company of such representative’s status and address by written notice under this Section 11. Any notice will have been deemed duly given when enclosed in a properly sealed envelope addressed as aforesaid, deposited (with postage prepaid) in a postal receptacle regularly maintained by the United States Postal Service or postal service of the jurisdiction in which the notice is mailed.</w:t>
      </w:r>
    </w:p>
    <w:p>
      <w:pPr>
        <w:spacing w:after="0" w:line="203" w:lineRule="exact"/>
        <w:rPr>
          <w:sz w:val="20"/>
          <w:szCs w:val="20"/>
          <w:color w:val="auto"/>
        </w:rPr>
      </w:pPr>
    </w:p>
    <w:p>
      <w:pPr>
        <w:jc w:val="both"/>
        <w:ind w:firstLine="502"/>
        <w:spacing w:after="0" w:line="234" w:lineRule="auto"/>
        <w:tabs>
          <w:tab w:leader="none" w:pos="9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color w:val="auto"/>
        </w:rPr>
        <w:t>In order to grant the RSUs, perform its obligations under the Plan and facilitate the proper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(including the RSUs), the Company may collect, transfer, use, process, or hold certain personal data about the Grantee, including, but not limited to, the Grantee’s name, nationality, citizenship, tax residency, date of birth, age, social insurance number or tax identification number or other identification number, brokerage account information, job title, compensation, Share ownership and equity award history, home address, e-mail address and other contact information (the “Data”). By accepting this grant of the RSUs, the Grantee explicitly and unambiguously consents to the collection, use, and transfer, in electronic or other form, of the Grantee’s Data as described in this Agreement and any other RSU award documentation by and among, as applicable, the Company entities for the exclusive purposes of implementing, administering, and managing the Grantee’s participation in the Plan, and the Grantee acknowledges and agrees as follows in respect of the processing and disclosure of the Grantee’s Data:</w:t>
      </w:r>
    </w:p>
    <w:p>
      <w:pPr>
        <w:spacing w:after="0" w:line="204" w:lineRule="exact"/>
        <w:rPr>
          <w:rFonts w:ascii="Arial" w:cs="Arial" w:eastAsia="Arial" w:hAnsi="Arial"/>
          <w:sz w:val="22"/>
          <w:szCs w:val="22"/>
          <w:b w:val="1"/>
          <w:bCs w:val="1"/>
          <w:color w:val="auto"/>
        </w:rPr>
      </w:pPr>
    </w:p>
    <w:p>
      <w:pPr>
        <w:jc w:val="both"/>
        <w:ind w:firstLine="1063"/>
        <w:spacing w:after="0" w:line="234" w:lineRule="auto"/>
        <w:tabs>
          <w:tab w:leader="none" w:pos="1575" w:val="left"/>
        </w:tabs>
        <w:numPr>
          <w:ilvl w:val="1"/>
          <w:numId w:val="73"/>
        </w:numPr>
        <w:rPr>
          <w:rFonts w:ascii="Arial" w:cs="Arial" w:eastAsia="Arial" w:hAnsi="Arial"/>
          <w:sz w:val="22"/>
          <w:szCs w:val="22"/>
          <w:b w:val="1"/>
          <w:bCs w:val="1"/>
          <w:color w:val="auto"/>
        </w:rPr>
      </w:pPr>
      <w:r>
        <w:rPr>
          <w:rFonts w:ascii="Arial" w:cs="Arial" w:eastAsia="Arial" w:hAnsi="Arial"/>
          <w:sz w:val="22"/>
          <w:szCs w:val="22"/>
          <w:color w:val="auto"/>
        </w:rPr>
        <w:t>The Company is required to collect, process and utilize the personal data for purposes directly relevant to and necessary for the administration of the Plan (including the RSUs). The purposes described in this Section 12 for the processing of the Grantee’s Data are necessary for the administration of the Plan (including the RSUs) and the legitimate interests of the Company in connection with such administration. Such processing may include the disclosure or transfer of some or all of that personal data among the Company entities, and, as necessary, to any third-party service provider engaged by the Company to assist with the implementation, administration, and management of the Plan. The recipients of the Data may be located in the United States or elsewhere, and the Grantee's country or jurisdiction may have different data privacy laws and protections than the United States or other country in which the recipients of the Data are located.</w:t>
      </w:r>
    </w:p>
    <w:p>
      <w:pPr>
        <w:spacing w:after="0" w:line="210" w:lineRule="exact"/>
        <w:rPr>
          <w:rFonts w:ascii="Arial" w:cs="Arial" w:eastAsia="Arial" w:hAnsi="Arial"/>
          <w:sz w:val="22"/>
          <w:szCs w:val="22"/>
          <w:b w:val="1"/>
          <w:bCs w:val="1"/>
          <w:color w:val="auto"/>
        </w:rPr>
      </w:pPr>
    </w:p>
    <w:p>
      <w:pPr>
        <w:jc w:val="both"/>
        <w:ind w:firstLine="1103"/>
        <w:spacing w:after="0" w:line="238" w:lineRule="auto"/>
        <w:tabs>
          <w:tab w:leader="none" w:pos="1643" w:val="left"/>
        </w:tabs>
        <w:numPr>
          <w:ilvl w:val="2"/>
          <w:numId w:val="73"/>
        </w:numPr>
        <w:rPr>
          <w:rFonts w:ascii="Arial" w:cs="Arial" w:eastAsia="Arial" w:hAnsi="Arial"/>
          <w:sz w:val="22"/>
          <w:szCs w:val="22"/>
          <w:b w:val="1"/>
          <w:bCs w:val="1"/>
          <w:color w:val="auto"/>
        </w:rPr>
      </w:pPr>
      <w:r>
        <w:rPr>
          <w:rFonts w:ascii="Arial" w:cs="Arial" w:eastAsia="Arial" w:hAnsi="Arial"/>
          <w:sz w:val="22"/>
          <w:szCs w:val="22"/>
          <w:color w:val="auto"/>
        </w:rPr>
        <w:t>The Company and the other recipients of the Data may utilize the Data for the purpose of administering the Plan (including the RSUs), provided that such Data will be kept confidential and will not be used for any purposes not related to the administration of the Plan or the RSUs. The Company will hold and use the Data only as long as is necessary to implement, administer and manage the Participant's participation in the Plan, or as required to comply with legal or regulatory obligations, including under tax and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5" w:name="page66"/>
    <w:bookmarkEnd w:id="65"/>
    <w:p>
      <w:pPr>
        <w:spacing w:after="0" w:line="213" w:lineRule="exact"/>
        <w:rPr>
          <w:sz w:val="20"/>
          <w:szCs w:val="20"/>
          <w:color w:val="auto"/>
        </w:rPr>
      </w:pPr>
    </w:p>
    <w:p>
      <w:pPr>
        <w:jc w:val="both"/>
        <w:ind w:firstLine="982"/>
        <w:spacing w:after="0" w:line="262" w:lineRule="auto"/>
        <w:tabs>
          <w:tab w:leader="none" w:pos="1454" w:val="left"/>
        </w:tabs>
        <w:numPr>
          <w:ilvl w:val="1"/>
          <w:numId w:val="74"/>
        </w:numPr>
        <w:rPr>
          <w:rFonts w:ascii="Arial" w:cs="Arial" w:eastAsia="Arial" w:hAnsi="Arial"/>
          <w:sz w:val="21"/>
          <w:szCs w:val="21"/>
          <w:b w:val="1"/>
          <w:bCs w:val="1"/>
          <w:color w:val="auto"/>
        </w:rPr>
      </w:pPr>
      <w:r>
        <w:rPr>
          <w:rFonts w:ascii="Arial" w:cs="Arial" w:eastAsia="Arial" w:hAnsi="Arial"/>
          <w:sz w:val="21"/>
          <w:szCs w:val="21"/>
          <w:color w:val="auto"/>
        </w:rPr>
        <w:t>The Grantee’s Data may be processed and disclosed by and to any future potential purchaser of the Company (or of any of its undertaking) for the purpose of administering the Plan (including the RSUs) and/or confirming the Grantee’s entitlement to the RSUs where such entitlement is relevant to such potential purchase; and</w:t>
      </w:r>
    </w:p>
    <w:p>
      <w:pPr>
        <w:spacing w:after="0" w:line="181" w:lineRule="exact"/>
        <w:rPr>
          <w:rFonts w:ascii="Arial" w:cs="Arial" w:eastAsia="Arial" w:hAnsi="Arial"/>
          <w:sz w:val="21"/>
          <w:szCs w:val="21"/>
          <w:b w:val="1"/>
          <w:bCs w:val="1"/>
          <w:color w:val="auto"/>
        </w:rPr>
      </w:pPr>
    </w:p>
    <w:p>
      <w:pPr>
        <w:jc w:val="both"/>
        <w:ind w:firstLine="995"/>
        <w:spacing w:after="0" w:line="245" w:lineRule="auto"/>
        <w:tabs>
          <w:tab w:leader="none" w:pos="1494" w:val="left"/>
        </w:tabs>
        <w:numPr>
          <w:ilvl w:val="2"/>
          <w:numId w:val="74"/>
        </w:numPr>
        <w:rPr>
          <w:rFonts w:ascii="Arial" w:cs="Arial" w:eastAsia="Arial" w:hAnsi="Arial"/>
          <w:sz w:val="22"/>
          <w:szCs w:val="22"/>
          <w:b w:val="1"/>
          <w:bCs w:val="1"/>
          <w:color w:val="auto"/>
        </w:rPr>
      </w:pPr>
      <w:r>
        <w:rPr>
          <w:rFonts w:ascii="Arial" w:cs="Arial" w:eastAsia="Arial" w:hAnsi="Arial"/>
          <w:sz w:val="22"/>
          <w:szCs w:val="22"/>
          <w:color w:val="auto"/>
        </w:rPr>
        <w:t>The Grantee is providing the consent described in this Section 12 on a purely voluntary basis. If the Grantee refuses to consent or revokes consent, the Grantee will not be able to participate in the Plan or realize benefits (if any) from the RSUs.</w:t>
      </w:r>
    </w:p>
    <w:p>
      <w:pPr>
        <w:spacing w:after="0" w:line="195" w:lineRule="exact"/>
        <w:rPr>
          <w:rFonts w:ascii="Arial" w:cs="Arial" w:eastAsia="Arial" w:hAnsi="Arial"/>
          <w:sz w:val="22"/>
          <w:szCs w:val="22"/>
          <w:b w:val="1"/>
          <w:bCs w:val="1"/>
          <w:color w:val="auto"/>
        </w:rPr>
      </w:pPr>
    </w:p>
    <w:p>
      <w:pPr>
        <w:ind w:firstLine="488"/>
        <w:spacing w:after="0" w:line="261" w:lineRule="auto"/>
        <w:tabs>
          <w:tab w:leader="none" w:pos="9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Contract of Employment; Nature of Grant. </w:t>
      </w:r>
      <w:r>
        <w:rPr>
          <w:rFonts w:ascii="Arial" w:cs="Arial" w:eastAsia="Arial" w:hAnsi="Arial"/>
          <w:sz w:val="22"/>
          <w:szCs w:val="22"/>
          <w:color w:val="auto"/>
        </w:rPr>
        <w:t>By accepting this grant of the RSUs,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acknowledges, and agrees as follows:</w:t>
      </w:r>
    </w:p>
    <w:p>
      <w:pPr>
        <w:spacing w:after="0" w:line="180" w:lineRule="exact"/>
        <w:rPr>
          <w:rFonts w:ascii="Arial" w:cs="Arial" w:eastAsia="Arial" w:hAnsi="Arial"/>
          <w:sz w:val="22"/>
          <w:szCs w:val="22"/>
          <w:b w:val="1"/>
          <w:bCs w:val="1"/>
          <w:color w:val="auto"/>
        </w:rPr>
      </w:pPr>
    </w:p>
    <w:p>
      <w:pPr>
        <w:jc w:val="both"/>
        <w:ind w:firstLine="995"/>
        <w:spacing w:after="0" w:line="238" w:lineRule="auto"/>
        <w:tabs>
          <w:tab w:leader="none" w:pos="1481" w:val="left"/>
        </w:tabs>
        <w:numPr>
          <w:ilvl w:val="2"/>
          <w:numId w:val="75"/>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to the extent permitted by the Plan, and the grant of the RSUs is voluntary and occasional and does not create any contractual or other right to receive future grants of RSUs or other grants, or benefits in lieu of RSUs or other grants, even if RSUs or other grants have been granted in the past.</w:t>
      </w:r>
    </w:p>
    <w:p>
      <w:pPr>
        <w:spacing w:after="0" w:line="203" w:lineRule="exact"/>
        <w:rPr>
          <w:rFonts w:ascii="Arial" w:cs="Arial" w:eastAsia="Arial" w:hAnsi="Arial"/>
          <w:sz w:val="22"/>
          <w:szCs w:val="22"/>
          <w:b w:val="1"/>
          <w:bCs w:val="1"/>
          <w:color w:val="auto"/>
        </w:rPr>
      </w:pPr>
    </w:p>
    <w:p>
      <w:pPr>
        <w:ind w:firstLine="1036"/>
        <w:spacing w:after="0" w:line="233" w:lineRule="auto"/>
        <w:tabs>
          <w:tab w:leader="none" w:pos="1440" w:val="left"/>
        </w:tabs>
        <w:numPr>
          <w:ilvl w:val="3"/>
          <w:numId w:val="75"/>
        </w:numPr>
        <w:rPr>
          <w:rFonts w:ascii="Arial" w:cs="Arial" w:eastAsia="Arial" w:hAnsi="Arial"/>
          <w:sz w:val="22"/>
          <w:szCs w:val="22"/>
          <w:b w:val="1"/>
          <w:bCs w:val="1"/>
          <w:color w:val="auto"/>
        </w:rPr>
      </w:pPr>
      <w:r>
        <w:rPr>
          <w:rFonts w:ascii="Arial" w:cs="Arial" w:eastAsia="Arial" w:hAnsi="Arial"/>
          <w:sz w:val="22"/>
          <w:szCs w:val="22"/>
          <w:color w:val="auto"/>
        </w:rPr>
        <w:t>The Grantee's participation in the Plan is voluntary, and the RSUs and any Shares underlying or acquired pursuant to the RSUs, and the income and value of same, are not part of normal or expected compensation or salary for any purposes, including, without limitation, calculation of any severance, resignation, termination, redundancy, dismissal, end-of-service payments, bonuses, long-service awards, pension or retirement or welfare benefits or similar payments, and the benefit to the Grantee of participation in the Plan (including, in particular but not by way of limitation, the RSUs) will not form any part of the Grantee’s remuneration or count as his or her remuneration for any purpose and will not be pensionable. The RSUs and the Shares subject to the RSUs are extraordinary items that do not constitute compensation of any kind for services of any kind rendered to the Company, and are outside the scope of the Grantee’s employment contract, if any. The RSUs and the Shares subject to the RSUs are not intended to replace any pension rights or compensation, and the rights or opportunity granted to the Grantee on the grant of the RSUs will not give the Grantee any rights or additional rights in respect of any pension scheme operated by the Company.</w:t>
      </w:r>
    </w:p>
    <w:p>
      <w:pPr>
        <w:spacing w:after="0" w:line="211" w:lineRule="exact"/>
        <w:rPr>
          <w:rFonts w:ascii="Arial" w:cs="Arial" w:eastAsia="Arial" w:hAnsi="Arial"/>
          <w:sz w:val="22"/>
          <w:szCs w:val="22"/>
          <w:b w:val="1"/>
          <w:bCs w:val="1"/>
          <w:color w:val="auto"/>
        </w:rPr>
      </w:pPr>
    </w:p>
    <w:p>
      <w:pPr>
        <w:jc w:val="both"/>
        <w:ind w:firstLine="982"/>
        <w:spacing w:after="0" w:line="245" w:lineRule="auto"/>
        <w:tabs>
          <w:tab w:leader="none" w:pos="1440" w:val="left"/>
        </w:tabs>
        <w:numPr>
          <w:ilvl w:val="1"/>
          <w:numId w:val="75"/>
        </w:numPr>
        <w:rPr>
          <w:rFonts w:ascii="Arial" w:cs="Arial" w:eastAsia="Arial" w:hAnsi="Arial"/>
          <w:sz w:val="22"/>
          <w:szCs w:val="22"/>
          <w:b w:val="1"/>
          <w:bCs w:val="1"/>
          <w:color w:val="auto"/>
        </w:rPr>
      </w:pPr>
      <w:r>
        <w:rPr>
          <w:rFonts w:ascii="Arial" w:cs="Arial" w:eastAsia="Arial" w:hAnsi="Arial"/>
          <w:sz w:val="22"/>
          <w:szCs w:val="22"/>
          <w:color w:val="auto"/>
        </w:rPr>
        <w:t>The grant of RSUs and the Grantee’s participation in the Plan will not create a right to employment or be interpreted as forming an employment or service contract with the Company, and will not interfere with the ability of the Company to terminate the Grantee’s employment at any time.</w:t>
      </w:r>
    </w:p>
    <w:p>
      <w:pPr>
        <w:spacing w:after="0" w:line="197" w:lineRule="exact"/>
        <w:rPr>
          <w:rFonts w:ascii="Arial" w:cs="Arial" w:eastAsia="Arial" w:hAnsi="Arial"/>
          <w:sz w:val="22"/>
          <w:szCs w:val="22"/>
          <w:b w:val="1"/>
          <w:bCs w:val="1"/>
          <w:color w:val="auto"/>
        </w:rPr>
      </w:pPr>
    </w:p>
    <w:p>
      <w:pPr>
        <w:jc w:val="both"/>
        <w:ind w:firstLine="995"/>
        <w:spacing w:after="0" w:line="245" w:lineRule="auto"/>
        <w:tabs>
          <w:tab w:leader="none" w:pos="1556" w:val="left"/>
        </w:tabs>
        <w:numPr>
          <w:ilvl w:val="2"/>
          <w:numId w:val="76"/>
        </w:numPr>
        <w:rPr>
          <w:rFonts w:ascii="Arial" w:cs="Arial" w:eastAsia="Arial" w:hAnsi="Arial"/>
          <w:sz w:val="22"/>
          <w:szCs w:val="22"/>
          <w:b w:val="1"/>
          <w:bCs w:val="1"/>
          <w:color w:val="auto"/>
        </w:rPr>
      </w:pPr>
      <w:r>
        <w:rPr>
          <w:rFonts w:ascii="Arial" w:cs="Arial" w:eastAsia="Arial" w:hAnsi="Arial"/>
          <w:sz w:val="22"/>
          <w:szCs w:val="22"/>
          <w:color w:val="auto"/>
        </w:rPr>
        <w:t>The rights or opportunity granted to the Grantee on the grant of the RSUs will not give the Grantee any rights or additional rights if the Grantee ceases to be employed by the Company, and the Grantee will not be entitled to compensation for the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36" w:lineRule="auto"/>
        <w:rPr>
          <w:sz w:val="20"/>
          <w:szCs w:val="20"/>
          <w:color w:val="auto"/>
        </w:rPr>
      </w:pPr>
      <w:r>
        <w:rPr>
          <w:rFonts w:ascii="Arial" w:cs="Arial" w:eastAsia="Arial" w:hAnsi="Arial"/>
          <w:sz w:val="22"/>
          <w:szCs w:val="22"/>
          <w:color w:val="auto"/>
        </w:rPr>
        <w:t>loss of any right or benefit or prospective right or benefit under the Plan (including, in particular but not by way of limitation, in the event the RSUs lapse or terminate by reason of the Grantee ceasing to be employed by the Company) whether by way of damages for unfair dismissal, wrongful dismissal, breach of contract or otherwise. The Grantee will not be entitled to any compensation or damages for any loss or potential loss that the Grantee may suffer by reason of being unable to acquire or retain Shares or any interest in Shares (or any equivalent or connected interest) pursuant to the RSUs in consequence of the loss or termination of his or her employment with the Company for any reason whatsoever (whether or not the termination is ultimately held to be wrongful or unfair).</w:t>
      </w:r>
    </w:p>
    <w:p>
      <w:pPr>
        <w:spacing w:after="0" w:line="203" w:lineRule="exact"/>
        <w:rPr>
          <w:sz w:val="20"/>
          <w:szCs w:val="20"/>
          <w:color w:val="auto"/>
        </w:rPr>
      </w:pPr>
    </w:p>
    <w:p>
      <w:pPr>
        <w:jc w:val="both"/>
        <w:ind w:firstLine="968"/>
        <w:spacing w:after="0" w:line="233" w:lineRule="auto"/>
        <w:tabs>
          <w:tab w:leader="none" w:pos="1440" w:val="left"/>
        </w:tabs>
        <w:numPr>
          <w:ilvl w:val="1"/>
          <w:numId w:val="77"/>
        </w:numPr>
        <w:rPr>
          <w:rFonts w:ascii="Arial" w:cs="Arial" w:eastAsia="Arial" w:hAnsi="Arial"/>
          <w:sz w:val="22"/>
          <w:szCs w:val="22"/>
          <w:b w:val="1"/>
          <w:bCs w:val="1"/>
          <w:color w:val="auto"/>
        </w:rPr>
      </w:pPr>
      <w:r>
        <w:rPr>
          <w:rFonts w:ascii="Arial" w:cs="Arial" w:eastAsia="Arial" w:hAnsi="Arial"/>
          <w:sz w:val="22"/>
          <w:szCs w:val="22"/>
          <w:color w:val="auto"/>
        </w:rPr>
        <w:t>For purposes of this Agreement, including without limitation the employment conditions and references to termination of employment set forth in Section 3 and Section 4 of this Agreement, the Grantee’s employment will be considered terminated as of the date the Grantee is no longer actively providing services to the Company (regardless of the reason for such termination and whether or not later found to be invalid or in breach of applicable laws in the jurisdiction where the Grantee is employed or the terms of the Grantee's employment agreement, if any), and will not include “garden leave” or any other period of time in which the Grantee is no longer reporting to work with the Company on a regular basis due to an impending termination of employment, regardless of whether or not the Grantee is considered to be employed by the Company during such period. For the avoidance of doubt, any reference in this Agreement to "employment with the Company" or "employed by the Company" will be deemed to include service as a non-Employee member of the Company's Board of Directors, and a Grantee's continuous employment with the Company will not be considered interrupted in the event of a change in the status of the Grantee from Employee to non-Employee Director, or from non-Employee Director to Employee, or from full-time Employee to part-time Employee. The determination of whether and when the Grantee is no longer actively employed for purposes of this Agreement will be made by the Committee in its discretion.</w:t>
      </w:r>
    </w:p>
    <w:p>
      <w:pPr>
        <w:spacing w:after="0" w:line="204" w:lineRule="exact"/>
        <w:rPr>
          <w:rFonts w:ascii="Arial" w:cs="Arial" w:eastAsia="Arial" w:hAnsi="Arial"/>
          <w:sz w:val="22"/>
          <w:szCs w:val="22"/>
          <w:b w:val="1"/>
          <w:bCs w:val="1"/>
          <w:color w:val="auto"/>
        </w:rPr>
      </w:pPr>
    </w:p>
    <w:p>
      <w:pPr>
        <w:jc w:val="both"/>
        <w:ind w:firstLine="488"/>
        <w:spacing w:after="0"/>
        <w:tabs>
          <w:tab w:leader="none" w:pos="9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Titles; English Language. </w:t>
      </w:r>
      <w:r>
        <w:rPr>
          <w:rFonts w:ascii="Arial" w:cs="Arial" w:eastAsia="Arial" w:hAnsi="Arial"/>
          <w:sz w:val="22"/>
          <w:szCs w:val="22"/>
          <w:color w:val="auto"/>
        </w:rPr>
        <w:t>Titles are provided herein for convenience only and are not to serve as a basis</w:t>
      </w:r>
      <w:r>
        <w:rPr>
          <w:rFonts w:ascii="Arial" w:cs="Arial" w:eastAsia="Arial" w:hAnsi="Arial"/>
          <w:sz w:val="22"/>
          <w:szCs w:val="22"/>
          <w:b w:val="1"/>
          <w:bCs w:val="1"/>
          <w:color w:val="auto"/>
        </w:rPr>
        <w:t xml:space="preserve"> </w:t>
      </w:r>
      <w:r>
        <w:rPr>
          <w:rFonts w:ascii="Arial" w:cs="Arial" w:eastAsia="Arial" w:hAnsi="Arial"/>
          <w:sz w:val="22"/>
          <w:szCs w:val="22"/>
          <w:color w:val="auto"/>
        </w:rPr>
        <w:t>for interpretation or construction of this Agreement. If the Grantee has received this Agreement, the Plan, or any other rules, procedures, forms or documents related to the RSUs translated into a language other than English, and if the meaning of the translated version is different than the English version, the English version will control.</w:t>
      </w:r>
    </w:p>
    <w:p>
      <w:pPr>
        <w:spacing w:after="0" w:line="203" w:lineRule="exact"/>
        <w:rPr>
          <w:rFonts w:ascii="Arial" w:cs="Arial" w:eastAsia="Arial" w:hAnsi="Arial"/>
          <w:sz w:val="22"/>
          <w:szCs w:val="22"/>
          <w:b w:val="1"/>
          <w:bCs w:val="1"/>
          <w:color w:val="auto"/>
        </w:rPr>
      </w:pPr>
    </w:p>
    <w:p>
      <w:pPr>
        <w:jc w:val="both"/>
        <w:ind w:firstLine="488"/>
        <w:spacing w:after="0" w:line="250" w:lineRule="auto"/>
        <w:tabs>
          <w:tab w:leader="none" w:pos="9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Disposition. </w:t>
      </w:r>
      <w:r>
        <w:rPr>
          <w:rFonts w:ascii="Arial" w:cs="Arial" w:eastAsia="Arial" w:hAnsi="Arial"/>
          <w:sz w:val="21"/>
          <w:szCs w:val="21"/>
          <w:color w:val="auto"/>
        </w:rPr>
        <w:t>Upon receipt of any Shares as a result of the satisfaction of all conditions to the grant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RSUs, the Grantee will, if requested by the Company in order to assure compliance with applicable law, hold such Shares for investment and not with the view toward resale or distribution to the public and, if so requested by the Company, will deliver to the Company a written statement signed by the Grantee and satisfactory to the Company to that effect. In such instance, the Grantee will give prompt notice to the Company of any disposition or other transfer of any Shares acquired under this Agreement. Such notice will specify the date of such disposition or other transfer and</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spacing w:after="0" w:line="259" w:lineRule="auto"/>
        <w:rPr>
          <w:sz w:val="20"/>
          <w:szCs w:val="20"/>
          <w:color w:val="auto"/>
        </w:rPr>
      </w:pPr>
      <w:r>
        <w:rPr>
          <w:rFonts w:ascii="Arial" w:cs="Arial" w:eastAsia="Arial" w:hAnsi="Arial"/>
          <w:sz w:val="22"/>
          <w:szCs w:val="22"/>
          <w:color w:val="auto"/>
        </w:rPr>
        <w:t>the amount realized, in cash, other property, assumption of indebtedness or other consideration, by the Grantee in such disposition or other transfer.</w:t>
      </w:r>
    </w:p>
    <w:p>
      <w:pPr>
        <w:spacing w:after="0" w:line="181" w:lineRule="exact"/>
        <w:rPr>
          <w:sz w:val="20"/>
          <w:szCs w:val="20"/>
          <w:color w:val="auto"/>
        </w:rPr>
      </w:pPr>
    </w:p>
    <w:p>
      <w:pPr>
        <w:jc w:val="both"/>
        <w:ind w:firstLine="757"/>
        <w:spacing w:after="0" w:line="245" w:lineRule="auto"/>
        <w:tabs>
          <w:tab w:leader="none" w:pos="1229" w:val="left"/>
        </w:tabs>
        <w:numPr>
          <w:ilvl w:val="2"/>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Laws. </w:t>
      </w:r>
      <w:r>
        <w:rPr>
          <w:rFonts w:ascii="Arial" w:cs="Arial" w:eastAsia="Arial" w:hAnsi="Arial"/>
          <w:sz w:val="21"/>
          <w:szCs w:val="21"/>
          <w:color w:val="auto"/>
        </w:rPr>
        <w:t>The Company reserves the right to impose other requirements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on the RSUs, and on any Shares acquired or cash payments made pursuant to the Agreement, to the extent the Company determines it is necessary or advisable in order to comply with local law or to facilitate the administration of the Plan, and to require the Grantee to sign any additional agreements or undertakings that may be necessary to accomplish the foregoing. The Grantee agrees to take any and all actions as may be required to comply with the Grantee’s personal legal and tax obligations under all laws, rules, and regulations applicable to the Grantee. The Grantee acknowledges that there may be certain exchange control, foreign asset/account and/or tax reporting requirements that may affect the Grantee’s ability to acquire or hold Shares or cash received from participating in the Plan (including the proceeds from the sale of Shares and the receipt of any Dividend Equivalents or dividends) in a brokerage or bank account outside the Grantee’s country. The Grantee may be required to report such accounts, assets, or related transactions to the tax or other authorities in the Grantee’s country. The Grantee acknowledges that it is the Grantee’s responsibility to comply with such regulations.</w:t>
      </w:r>
    </w:p>
    <w:p>
      <w:pPr>
        <w:spacing w:after="0" w:line="200" w:lineRule="exact"/>
        <w:rPr>
          <w:rFonts w:ascii="Arial" w:cs="Arial" w:eastAsia="Arial" w:hAnsi="Arial"/>
          <w:sz w:val="21"/>
          <w:szCs w:val="21"/>
          <w:b w:val="1"/>
          <w:bCs w:val="1"/>
          <w:color w:val="auto"/>
        </w:rPr>
      </w:pPr>
    </w:p>
    <w:p>
      <w:pPr>
        <w:jc w:val="both"/>
        <w:ind w:firstLine="488"/>
        <w:spacing w:after="0" w:line="238" w:lineRule="auto"/>
        <w:tabs>
          <w:tab w:leader="none" w:pos="9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Severability. </w:t>
      </w:r>
      <w:r>
        <w:rPr>
          <w:rFonts w:ascii="Arial" w:cs="Arial" w:eastAsia="Arial" w:hAnsi="Arial"/>
          <w:sz w:val="22"/>
          <w:szCs w:val="22"/>
          <w:color w:val="auto"/>
        </w:rPr>
        <w:t>This Agreement may be executed in two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deemed an original and all of which together will constitute one agreement. If any provision, or any part thereof, of this Agreement should be held by any court to be illegal, invalid or unenforceable, either in whole or in part, such illegality, invalidity or unenforceability will not affect the legality, validity or enforceability of the remaining provisions, or any part thereof, all of which will remain in full and effect.</w:t>
      </w:r>
    </w:p>
    <w:p>
      <w:pPr>
        <w:spacing w:after="0" w:line="203" w:lineRule="exact"/>
        <w:rPr>
          <w:rFonts w:ascii="Arial" w:cs="Arial" w:eastAsia="Arial" w:hAnsi="Arial"/>
          <w:sz w:val="22"/>
          <w:szCs w:val="22"/>
          <w:b w:val="1"/>
          <w:bCs w:val="1"/>
          <w:color w:val="auto"/>
        </w:rPr>
      </w:pPr>
    </w:p>
    <w:p>
      <w:pPr>
        <w:jc w:val="both"/>
        <w:ind w:firstLine="542"/>
        <w:spacing w:after="0" w:line="235" w:lineRule="auto"/>
        <w:tabs>
          <w:tab w:leader="none" w:pos="960" w:val="left"/>
        </w:tabs>
        <w:numPr>
          <w:ilvl w:val="1"/>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Amendments. </w:t>
      </w:r>
      <w:r>
        <w:rPr>
          <w:rFonts w:ascii="Arial" w:cs="Arial" w:eastAsia="Arial" w:hAnsi="Arial"/>
          <w:sz w:val="22"/>
          <w:szCs w:val="22"/>
          <w:color w:val="auto"/>
        </w:rPr>
        <w:t>This Agreement (including the Appendix and any documents or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referred to herein) constitutes the entire agreement regarding the RSUs among the parties and supersedes all prior agreements, and understandings, both written and oral, among the parties with respect to the subject matter hereof. The Committee may amend this Agreement, provided that if the Committee determines, in its discretion, that an amendment of this Agreement is likely to materially impair the rights of the Grantee, such amendment will not be implemented without the consent of the Grantee, except to the extent that such amendment is required for compliance with applicable law, stock market or exchange rules and regulations, or accounting or tax rules and regulations.</w:t>
      </w:r>
    </w:p>
    <w:p>
      <w:pPr>
        <w:spacing w:after="0" w:line="205" w:lineRule="exact"/>
        <w:rPr>
          <w:sz w:val="20"/>
          <w:szCs w:val="20"/>
          <w:color w:val="auto"/>
        </w:rPr>
      </w:pPr>
    </w:p>
    <w:p>
      <w:pPr>
        <w:ind w:firstLine="488"/>
        <w:spacing w:after="0" w:line="261" w:lineRule="auto"/>
        <w:tabs>
          <w:tab w:leader="none" w:pos="9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and enforced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Florida, without regard to choice of law principles.</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8" w:name="page69"/>
    <w:bookmarkEnd w:id="68"/>
    <w:p>
      <w:pPr>
        <w:ind w:firstLine="601"/>
        <w:spacing w:after="0" w:line="259" w:lineRule="auto"/>
        <w:rPr>
          <w:sz w:val="20"/>
          <w:szCs w:val="20"/>
          <w:color w:val="auto"/>
        </w:rPr>
      </w:pPr>
      <w:r>
        <w:rPr>
          <w:rFonts w:ascii="Arial" w:cs="Arial" w:eastAsia="Arial" w:hAnsi="Arial"/>
          <w:sz w:val="22"/>
          <w:szCs w:val="22"/>
          <w:color w:val="auto"/>
        </w:rPr>
        <w:t>IN WITNESS WHEREOF, this Agreement has been executed and delivered by the parties as of the date first written above.</w:t>
      </w:r>
    </w:p>
    <w:p>
      <w:pPr>
        <w:spacing w:after="0" w:line="200" w:lineRule="exact"/>
        <w:rPr>
          <w:sz w:val="20"/>
          <w:szCs w:val="20"/>
          <w:color w:val="auto"/>
        </w:rPr>
      </w:pP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BROWN &amp; BROWN, INC.</w:t>
      </w:r>
    </w:p>
    <w:p>
      <w:pPr>
        <w:spacing w:after="0" w:line="200" w:lineRule="exact"/>
        <w:rPr>
          <w:sz w:val="20"/>
          <w:szCs w:val="20"/>
          <w:color w:val="auto"/>
        </w:rPr>
      </w:pPr>
    </w:p>
    <w:p>
      <w:pPr>
        <w:spacing w:after="0" w:line="276" w:lineRule="exact"/>
        <w:rPr>
          <w:sz w:val="20"/>
          <w:szCs w:val="20"/>
          <w:color w:val="auto"/>
        </w:rPr>
      </w:pPr>
    </w:p>
    <w:p>
      <w:pPr>
        <w:ind w:left="7140"/>
        <w:spacing w:after="0"/>
        <w:rPr>
          <w:sz w:val="20"/>
          <w:szCs w:val="20"/>
          <w:color w:val="auto"/>
        </w:rPr>
      </w:pPr>
      <w:r>
        <w:rPr>
          <w:rFonts w:ascii="Arial" w:cs="Arial" w:eastAsia="Arial" w:hAnsi="Arial"/>
          <w:sz w:val="21"/>
          <w:szCs w:val="21"/>
          <w:color w:val="auto"/>
        </w:rPr>
        <w:t>By: _______________________________</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R. Andrew Watts</w:t>
      </w:r>
    </w:p>
    <w:p>
      <w:pPr>
        <w:ind w:left="5780"/>
        <w:spacing w:after="0"/>
        <w:tabs>
          <w:tab w:leader="none" w:pos="6920" w:val="left"/>
          <w:tab w:leader="none" w:pos="7580" w:val="left"/>
          <w:tab w:leader="none" w:pos="8800" w:val="left"/>
          <w:tab w:leader="none" w:pos="9980" w:val="left"/>
        </w:tabs>
        <w:rPr>
          <w:sz w:val="20"/>
          <w:szCs w:val="20"/>
          <w:color w:val="auto"/>
        </w:rPr>
      </w:pPr>
      <w:r>
        <w:rPr>
          <w:rFonts w:ascii="Arial" w:cs="Arial" w:eastAsia="Arial" w:hAnsi="Arial"/>
          <w:sz w:val="22"/>
          <w:szCs w:val="22"/>
          <w:color w:val="auto"/>
        </w:rPr>
        <w:t>Executive</w:t>
        <w:tab/>
        <w:t>Vice</w:t>
        <w:tab/>
        <w:t>President,</w:t>
        <w:tab/>
        <w:t>Treasurer</w:t>
      </w:r>
      <w:r>
        <w:rPr>
          <w:sz w:val="20"/>
          <w:szCs w:val="20"/>
          <w:color w:val="auto"/>
        </w:rPr>
        <w:tab/>
      </w:r>
      <w:r>
        <w:rPr>
          <w:rFonts w:ascii="Arial" w:cs="Arial" w:eastAsia="Arial" w:hAnsi="Arial"/>
          <w:sz w:val="19"/>
          <w:szCs w:val="19"/>
          <w:color w:val="auto"/>
        </w:rPr>
        <w:t>&amp;</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5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9" w:name="page70"/>
    <w:bookmarkEnd w:id="69"/>
    <w:p>
      <w:pPr>
        <w:jc w:val="center"/>
        <w:ind w:left="19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267970</wp:posOffset>
            </wp:positionH>
            <wp:positionV relativeFrom="page">
              <wp:posOffset>654685</wp:posOffset>
            </wp:positionV>
            <wp:extent cx="591185" cy="6083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591185" cy="608330"/>
                    </a:xfrm>
                    <a:prstGeom prst="rect">
                      <a:avLst/>
                    </a:prstGeom>
                    <a:noFill/>
                  </pic:spPr>
                </pic:pic>
              </a:graphicData>
            </a:graphic>
          </wp:anchor>
        </w:drawing>
        <w:t>BROWN &amp; BROWN, INC.</w:t>
      </w:r>
    </w:p>
    <w:p>
      <w:pPr>
        <w:spacing w:after="0" w:line="2" w:lineRule="exact"/>
        <w:rPr>
          <w:sz w:val="20"/>
          <w:szCs w:val="20"/>
          <w:color w:val="auto"/>
        </w:rPr>
      </w:pPr>
    </w:p>
    <w:p>
      <w:pPr>
        <w:jc w:val="center"/>
        <w:ind w:left="1900"/>
        <w:spacing w:after="0"/>
        <w:rPr>
          <w:sz w:val="20"/>
          <w:szCs w:val="20"/>
          <w:color w:val="auto"/>
        </w:rPr>
      </w:pPr>
      <w:r>
        <w:rPr>
          <w:rFonts w:ascii="Arial" w:cs="Arial" w:eastAsia="Arial" w:hAnsi="Arial"/>
          <w:sz w:val="22"/>
          <w:szCs w:val="22"/>
          <w:b w:val="1"/>
          <w:bCs w:val="1"/>
          <w:color w:val="auto"/>
        </w:rPr>
        <w:t>PERFORMANCE STOCK UNIT AWARD AGREEMENT</w:t>
      </w:r>
    </w:p>
    <w:p>
      <w:pPr>
        <w:jc w:val="center"/>
        <w:ind w:left="1900"/>
        <w:spacing w:after="0"/>
        <w:rPr>
          <w:sz w:val="20"/>
          <w:szCs w:val="20"/>
          <w:color w:val="auto"/>
        </w:rPr>
      </w:pPr>
      <w:r>
        <w:rPr>
          <w:rFonts w:ascii="Arial" w:cs="Arial" w:eastAsia="Arial" w:hAnsi="Arial"/>
          <w:sz w:val="22"/>
          <w:szCs w:val="22"/>
          <w:b w:val="1"/>
          <w:bCs w:val="1"/>
          <w:color w:val="auto"/>
        </w:rPr>
        <w:t>(Non-U.S. Key Corporate Leaders – Leveraged)</w:t>
      </w: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 Number: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Grantee:</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Date of Grant:</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Performance Stock Units:</w:t>
      </w:r>
    </w:p>
    <w:p>
      <w:pPr>
        <w:spacing w:after="0" w:line="235" w:lineRule="exact"/>
        <w:rPr>
          <w:sz w:val="20"/>
          <w:szCs w:val="20"/>
          <w:color w:val="auto"/>
        </w:rPr>
      </w:pPr>
    </w:p>
    <w:p>
      <w:pPr>
        <w:jc w:val="both"/>
        <w:ind w:firstLine="480"/>
        <w:spacing w:after="0" w:line="248" w:lineRule="auto"/>
        <w:rPr>
          <w:sz w:val="20"/>
          <w:szCs w:val="20"/>
          <w:color w:val="auto"/>
        </w:rPr>
      </w:pPr>
      <w:r>
        <w:rPr>
          <w:rFonts w:ascii="Arial" w:cs="Arial" w:eastAsia="Arial" w:hAnsi="Arial"/>
          <w:sz w:val="21"/>
          <w:szCs w:val="21"/>
          <w:color w:val="auto"/>
        </w:rPr>
        <w:t>This Performance Stock Unit Award Agreement (this “Agreement”) is entered into as of the date described above (the “Date of Grant”), between BROWN &amp; BROWN, INC., a Florida corporation (together with its subsidiaries, the “Company”) and the grantee described above (the “Grantee”), pursuant to the terms and conditions of the Brown</w:t>
      </w:r>
    </w:p>
    <w:p>
      <w:pPr>
        <w:ind w:firstLine="8"/>
        <w:spacing w:after="0"/>
        <w:tabs>
          <w:tab w:leader="none" w:pos="246" w:val="left"/>
        </w:tabs>
        <w:numPr>
          <w:ilvl w:val="0"/>
          <w:numId w:val="82"/>
        </w:numPr>
        <w:rPr>
          <w:rFonts w:ascii="Arial" w:cs="Arial" w:eastAsia="Arial" w:hAnsi="Arial"/>
          <w:sz w:val="22"/>
          <w:szCs w:val="22"/>
          <w:color w:val="auto"/>
        </w:rPr>
      </w:pPr>
      <w:r>
        <w:rPr>
          <w:rFonts w:ascii="Arial" w:cs="Arial" w:eastAsia="Arial" w:hAnsi="Arial"/>
          <w:sz w:val="22"/>
          <w:szCs w:val="22"/>
          <w:color w:val="auto"/>
        </w:rPr>
        <w:t>Brown, Inc. 2019 Stock Incentive Plan, as amended (the “Plan”). Any term capitalized but not defined in this Agreement will have the meaning set forth in the Plan.</w:t>
      </w:r>
    </w:p>
    <w:p>
      <w:pPr>
        <w:spacing w:after="0" w:line="203" w:lineRule="exact"/>
        <w:rPr>
          <w:sz w:val="20"/>
          <w:szCs w:val="20"/>
          <w:color w:val="auto"/>
        </w:rPr>
      </w:pPr>
    </w:p>
    <w:p>
      <w:pPr>
        <w:jc w:val="both"/>
        <w:ind w:firstLine="480"/>
        <w:spacing w:after="0" w:line="233" w:lineRule="auto"/>
        <w:rPr>
          <w:sz w:val="20"/>
          <w:szCs w:val="20"/>
          <w:color w:val="auto"/>
        </w:rPr>
      </w:pPr>
      <w:r>
        <w:rPr>
          <w:rFonts w:ascii="Arial" w:cs="Arial" w:eastAsia="Arial" w:hAnsi="Arial"/>
          <w:sz w:val="22"/>
          <w:szCs w:val="22"/>
          <w:color w:val="auto"/>
        </w:rPr>
        <w:t>The Plan provides to the Compensation Committee of the Board of Directors of the Company (the "Committee") the discretion and authority to grant to Employees or Directors Awards of restricted rights to receive shares of the common stock of the Company, par value $.10 per share (each, a “Share”), subject to the terms and conditions of the Plan and any additional terms and conditions provided by the Committee. The Plan identifies such an Award as an Award of Restricted Stock Units. In addition, the Plan provides to the Committee the discretion and authority to specify performance-based conditions for the awarding of Restricted Stock Units under an Award of Restricted Stock Units, and identifies an Award of Restricted Stock Units with such performance-based conditions as a Performance-Based Award. Pursuant to the terms of the Plan, the Committee desires to grant an Award of Performance-Based Restricted Stock Units (“Performance Stock Units”) to the Grantee effective as of the Date of Grant. The Grantee desires to accept the Award of Performance Stock Units and agrees to be bound by the terms and conditions of the Plan and this Performance Stock Unit Award Agreement. Accordingly, the Company and the Grantee hereby agree to the restrictions, terms, and conditions set forth below.</w:t>
      </w:r>
    </w:p>
    <w:p>
      <w:pPr>
        <w:spacing w:after="0" w:line="210" w:lineRule="exact"/>
        <w:rPr>
          <w:sz w:val="20"/>
          <w:szCs w:val="20"/>
          <w:color w:val="auto"/>
        </w:rPr>
      </w:pPr>
    </w:p>
    <w:p>
      <w:pPr>
        <w:jc w:val="both"/>
        <w:ind w:firstLine="542"/>
        <w:spacing w:after="0" w:line="235" w:lineRule="auto"/>
        <w:tabs>
          <w:tab w:leader="none" w:pos="9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Performance Stock Units. </w:t>
      </w:r>
      <w:r>
        <w:rPr>
          <w:rFonts w:ascii="Arial" w:cs="Arial" w:eastAsia="Arial" w:hAnsi="Arial"/>
          <w:sz w:val="22"/>
          <w:szCs w:val="22"/>
          <w:color w:val="auto"/>
        </w:rPr>
        <w:t>The Company grants to the Grantee the number of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described above (the “PSUs”), effective as of the Date of Grant. Each PSU represents the right to receive a Share subject to the restrictions and conditions set forth in the Plan and this Agreement. The Grantee will have no rights as a shareholder of the Company, no dividend rights, and no voting rights with respect to the PSUs or the Shares underlying the PSUs unless and until the PSUs become awarded and vested and nonforfeitable or payable in accordance with the terms and conditions of this Agreement, and the PSUs are settled and such Shares are delivered to the Grantee in accordance with Section 7 of this Agreement. For purposes of this Agreement, the PSUs are divided into two (2) portions (each, a "Tranche"). Fifty percent (50%)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PSUs will be “Tranche 1 PSUs” and fifty percent (50%) of the PSUs will be “Tranche 2 PSUs.”</w:t>
      </w:r>
    </w:p>
    <w:p>
      <w:pPr>
        <w:spacing w:after="0" w:line="231" w:lineRule="exact"/>
        <w:rPr>
          <w:sz w:val="20"/>
          <w:szCs w:val="20"/>
          <w:color w:val="auto"/>
        </w:rPr>
      </w:pPr>
    </w:p>
    <w:p>
      <w:pPr>
        <w:jc w:val="both"/>
        <w:ind w:firstLine="488"/>
        <w:spacing w:after="0" w:line="237" w:lineRule="auto"/>
        <w:tabs>
          <w:tab w:leader="none" w:pos="9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Country-Specific Provisions. </w:t>
      </w:r>
      <w:r>
        <w:rPr>
          <w:rFonts w:ascii="Arial" w:cs="Arial" w:eastAsia="Arial" w:hAnsi="Arial"/>
          <w:sz w:val="22"/>
          <w:szCs w:val="22"/>
          <w:color w:val="auto"/>
        </w:rPr>
        <w:t>Notwithstanding any provision of this Agreement to the contrary, the PSUs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subject to the applicable special terms and provisions, if any, for the Grantee's country of residence (and country of employment, if different), as set forth in the Country-Specific Appendix (the "Appendix") attached to this Agreement. The Appendix constitutes part of this Agreement. If the Grantee is a resident of, or employed in, a country that is not listed in the Appendix, the terms and conditions of this Agreement will apply without modification (unless otherwise determined by the Committee).</w:t>
      </w:r>
    </w:p>
    <w:p>
      <w:pPr>
        <w:spacing w:after="0" w:line="202" w:lineRule="exact"/>
        <w:rPr>
          <w:rFonts w:ascii="Arial" w:cs="Arial" w:eastAsia="Arial" w:hAnsi="Arial"/>
          <w:sz w:val="22"/>
          <w:szCs w:val="22"/>
          <w:b w:val="1"/>
          <w:bCs w:val="1"/>
          <w:color w:val="auto"/>
        </w:rPr>
      </w:pPr>
    </w:p>
    <w:p>
      <w:pPr>
        <w:jc w:val="both"/>
        <w:ind w:firstLine="529"/>
        <w:spacing w:after="0" w:line="236" w:lineRule="auto"/>
        <w:tabs>
          <w:tab w:leader="none" w:pos="960"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Conditions for Awarding of PSUs. </w:t>
      </w:r>
      <w:r>
        <w:rPr>
          <w:rFonts w:ascii="Arial" w:cs="Arial" w:eastAsia="Arial" w:hAnsi="Arial"/>
          <w:sz w:val="22"/>
          <w:szCs w:val="22"/>
          <w:color w:val="auto"/>
        </w:rPr>
        <w:t>Except as otherwise provided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event of a Change in Control or the Grantee's death or Disability, the percentages, if any, of the Tranche 1 PSUs and the Tranche 2 PSUs that will be treated as awarded (the "Awarded PSUs"), and therefore eligible to become vested and nonforfeitable in accordance with Section 4 of this Agreement, will be based on the level of achievement of the applicable performance goals set forth below during the five-year (5-year) period beginning on January 1, 2026, and ending on December 31, 2030 (the “Performance Period”), subject to the terms and conditions of this Section 3.</w:t>
      </w:r>
    </w:p>
    <w:p>
      <w:pPr>
        <w:spacing w:after="0" w:line="202" w:lineRule="exact"/>
        <w:rPr>
          <w:rFonts w:ascii="Arial" w:cs="Arial" w:eastAsia="Arial" w:hAnsi="Arial"/>
          <w:sz w:val="22"/>
          <w:szCs w:val="22"/>
          <w:b w:val="1"/>
          <w:bCs w:val="1"/>
          <w:color w:val="auto"/>
        </w:rPr>
      </w:pPr>
    </w:p>
    <w:p>
      <w:pPr>
        <w:jc w:val="both"/>
        <w:ind w:firstLine="1505"/>
        <w:spacing w:after="0" w:line="238" w:lineRule="auto"/>
        <w:tabs>
          <w:tab w:leader="none" w:pos="1978" w:val="left"/>
        </w:tabs>
        <w:numPr>
          <w:ilvl w:val="2"/>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Tranche 1 PSUs – Leveraged Share Price Performance Condition. </w:t>
      </w:r>
      <w:r>
        <w:rPr>
          <w:rFonts w:ascii="Arial" w:cs="Arial" w:eastAsia="Arial" w:hAnsi="Arial"/>
          <w:sz w:val="22"/>
          <w:szCs w:val="22"/>
          <w:color w:val="auto"/>
        </w:rPr>
        <w:t>The extent to which, if</w:t>
      </w:r>
      <w:r>
        <w:rPr>
          <w:rFonts w:ascii="Arial" w:cs="Arial" w:eastAsia="Arial" w:hAnsi="Arial"/>
          <w:sz w:val="22"/>
          <w:szCs w:val="22"/>
          <w:b w:val="1"/>
          <w:bCs w:val="1"/>
          <w:color w:val="auto"/>
        </w:rPr>
        <w:t xml:space="preserve"> </w:t>
      </w:r>
      <w:r>
        <w:rPr>
          <w:rFonts w:ascii="Arial" w:cs="Arial" w:eastAsia="Arial" w:hAnsi="Arial"/>
          <w:sz w:val="22"/>
          <w:szCs w:val="22"/>
          <w:color w:val="auto"/>
        </w:rPr>
        <w:t>any, the Tranche 1 PSUs become Awarded PSUs will be based upon the Relative Total Share Price Return and the Compound Annual Growth Rate (the "CAGR") of the Company's cumulative Share Price during the Performance Period (the "Leveraged Share Price Condition"). The percentage, if any, of the Tranche 1 PSUs that become Awarded PSUs will be determined in accordance with the following schedules: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 xml:space="preserve">If the Company’s Total Share Price Return is </w:t>
      </w:r>
      <w:r>
        <w:rPr>
          <w:rFonts w:ascii="Arial" w:cs="Arial" w:eastAsia="Arial" w:hAnsi="Arial"/>
          <w:sz w:val="22"/>
          <w:szCs w:val="22"/>
          <w:u w:val="single" w:color="auto"/>
          <w:color w:val="auto"/>
        </w:rPr>
        <w:t>fifteen percent (15%) or more below</w:t>
      </w:r>
      <w:r>
        <w:rPr>
          <w:rFonts w:ascii="Arial" w:cs="Arial" w:eastAsia="Arial" w:hAnsi="Arial"/>
          <w:sz w:val="22"/>
          <w:szCs w:val="22"/>
          <w:color w:val="auto"/>
        </w:rPr>
        <w:t xml:space="preserve"> the median Total Share Price Return of the S&amp;P 500 Index:</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Level</w:t>
            </w:r>
          </w:p>
        </w:tc>
        <w:tc>
          <w:tcPr>
            <w:tcW w:w="29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Cumulative Share Price</w:t>
            </w:r>
          </w:p>
        </w:tc>
        <w:tc>
          <w:tcPr>
            <w:tcW w:w="10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CAGR</w:t>
            </w:r>
          </w:p>
        </w:tc>
        <w:tc>
          <w:tcPr>
            <w:tcW w:w="48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Awarded Percentage of Tranche 1 PSUs</w:t>
            </w:r>
          </w:p>
        </w:tc>
      </w:tr>
      <w:tr>
        <w:trPr>
          <w:trHeight w:val="179"/>
        </w:trPr>
        <w:tc>
          <w:tcPr>
            <w:tcW w:w="24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Tier 7 (Maximum)</w:t>
            </w:r>
          </w:p>
        </w:tc>
        <w:tc>
          <w:tcPr>
            <w:tcW w:w="29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595%</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468%</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340%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213%</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85%</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54%</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1 (Threshold)</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21%</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right"/>
              <w:ind w:right="21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the Company’s Total Share Price Return is </w:t>
      </w:r>
      <w:r>
        <w:rPr>
          <w:rFonts w:ascii="Arial" w:cs="Arial" w:eastAsia="Arial" w:hAnsi="Arial"/>
          <w:sz w:val="22"/>
          <w:szCs w:val="22"/>
          <w:u w:val="single" w:color="auto"/>
          <w:color w:val="auto"/>
        </w:rPr>
        <w:t>less than fifteen percent (15%) below and less than fifteen percent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(15%) above</w:t>
      </w:r>
      <w:r>
        <w:rPr>
          <w:rFonts w:ascii="Arial" w:cs="Arial" w:eastAsia="Arial" w:hAnsi="Arial"/>
          <w:sz w:val="22"/>
          <w:szCs w:val="22"/>
          <w:color w:val="auto"/>
        </w:rPr>
        <w:t xml:space="preserve"> the median Total Share Price Return of the S&amp;P 500 Index:</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 w:name="page72"/>
    <w:bookmarkEnd w:id="71"/>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Level</w:t>
            </w:r>
          </w:p>
        </w:tc>
        <w:tc>
          <w:tcPr>
            <w:tcW w:w="29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Cumulative Share Price</w:t>
            </w:r>
          </w:p>
        </w:tc>
        <w:tc>
          <w:tcPr>
            <w:tcW w:w="10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CAGR</w:t>
            </w:r>
          </w:p>
        </w:tc>
        <w:tc>
          <w:tcPr>
            <w:tcW w:w="48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Awarded Percentage of Tranche 1 PSUs</w:t>
            </w:r>
          </w:p>
        </w:tc>
      </w:tr>
      <w:tr>
        <w:trPr>
          <w:trHeight w:val="179"/>
        </w:trPr>
        <w:tc>
          <w:tcPr>
            <w:tcW w:w="24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Tier 7 (Maximum)</w:t>
            </w:r>
          </w:p>
        </w:tc>
        <w:tc>
          <w:tcPr>
            <w:tcW w:w="29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700%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550%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400%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250%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 (Target)</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63%</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1 (Threshold)</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25%</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right"/>
              <w:ind w:right="21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 xml:space="preserve">If the Company’s Total Share Price Return </w:t>
      </w:r>
      <w:r>
        <w:rPr>
          <w:rFonts w:ascii="Arial" w:cs="Arial" w:eastAsia="Arial" w:hAnsi="Arial"/>
          <w:sz w:val="22"/>
          <w:szCs w:val="22"/>
          <w:u w:val="single" w:color="auto"/>
          <w:color w:val="auto"/>
        </w:rPr>
        <w:t>fifteen percent (15%) or more above</w:t>
      </w:r>
      <w:r>
        <w:rPr>
          <w:rFonts w:ascii="Arial" w:cs="Arial" w:eastAsia="Arial" w:hAnsi="Arial"/>
          <w:sz w:val="22"/>
          <w:szCs w:val="22"/>
          <w:color w:val="auto"/>
        </w:rPr>
        <w:t xml:space="preserve"> the median Total Share Price Return of the S&amp;P 500 Index:</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Level</w:t>
            </w:r>
          </w:p>
        </w:tc>
        <w:tc>
          <w:tcPr>
            <w:tcW w:w="29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Cumulative Share Price</w:t>
            </w:r>
          </w:p>
        </w:tc>
        <w:tc>
          <w:tcPr>
            <w:tcW w:w="10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CAGR</w:t>
            </w:r>
          </w:p>
        </w:tc>
        <w:tc>
          <w:tcPr>
            <w:tcW w:w="48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Awarded Percentage of Tranche 1 PSUs</w:t>
            </w:r>
          </w:p>
        </w:tc>
      </w:tr>
      <w:tr>
        <w:trPr>
          <w:trHeight w:val="179"/>
        </w:trPr>
        <w:tc>
          <w:tcPr>
            <w:tcW w:w="24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Tier 7 (Maximum)</w:t>
            </w:r>
          </w:p>
        </w:tc>
        <w:tc>
          <w:tcPr>
            <w:tcW w:w="29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805%</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633%</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460%</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288%</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115%</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72%</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1 (Threshold)</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29%</w:t>
            </w:r>
          </w:p>
        </w:tc>
      </w:tr>
      <w:tr>
        <w:trPr>
          <w:trHeight w:val="196"/>
        </w:trPr>
        <w:tc>
          <w:tcPr>
            <w:tcW w:w="248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294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jc w:val="right"/>
              <w:ind w:right="21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the actual performance level of the CAGR of the Company's Share Price falls in between any of the Performance Levels listed in the schedules above, the percentage of the Tranche 1 PSUs that become Awarded PSUs will be determined based on straight-line interpolation. The CAGR of the Company's Share Price for the Performance Period will be determined by comparison of (1) the average closing share price of the common stock of the Company, par value $.10 per share, during the thirty (30) trading days ended February 15, 2026, rounded down to the nearest dollar, that is $75.00, to (2) the sum of the Share Price for each year ending December 31, 2026, 2027, 2028, 2029, and 2030.</w:t>
      </w:r>
    </w:p>
    <w:p>
      <w:pPr>
        <w:spacing w:after="0" w:line="201" w:lineRule="exact"/>
        <w:rPr>
          <w:sz w:val="20"/>
          <w:szCs w:val="20"/>
          <w:color w:val="auto"/>
        </w:rPr>
      </w:pPr>
    </w:p>
    <w:p>
      <w:pPr>
        <w:jc w:val="both"/>
        <w:ind w:firstLine="1505"/>
        <w:spacing w:after="0" w:line="238" w:lineRule="auto"/>
        <w:tabs>
          <w:tab w:leader="none" w:pos="1978"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Tranche 2 PSUs – Leveraged EPS Performance Condition. </w:t>
      </w:r>
      <w:r>
        <w:rPr>
          <w:rFonts w:ascii="Arial" w:cs="Arial" w:eastAsia="Arial" w:hAnsi="Arial"/>
          <w:sz w:val="22"/>
          <w:szCs w:val="22"/>
          <w:color w:val="auto"/>
        </w:rPr>
        <w:t>The extent to which, if any,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Tranche 2 PSUs become Awarded PSUs will be based upon the Relative Total Share Price Return and the CAGR of the Company's cumulative earnings per share during the Performance Period (the "Leveraged EPS Condition"). The percentage, if any, of the Tranche 2 PSUs that become Awarded PSUs will be determined in accordance with the following schedules: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 xml:space="preserve">If the Company’s Total Share Price Return is </w:t>
      </w:r>
      <w:r>
        <w:rPr>
          <w:rFonts w:ascii="Arial" w:cs="Arial" w:eastAsia="Arial" w:hAnsi="Arial"/>
          <w:sz w:val="22"/>
          <w:szCs w:val="22"/>
          <w:u w:val="single" w:color="auto"/>
          <w:color w:val="auto"/>
        </w:rPr>
        <w:t>fifteen percent (15%) or more below</w:t>
      </w:r>
      <w:r>
        <w:rPr>
          <w:rFonts w:ascii="Arial" w:cs="Arial" w:eastAsia="Arial" w:hAnsi="Arial"/>
          <w:sz w:val="22"/>
          <w:szCs w:val="22"/>
          <w:color w:val="auto"/>
        </w:rPr>
        <w:t xml:space="preserve"> the median Total Share Price Return of the S&amp;P 500 Index:</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36"/>
        </w:trPr>
        <w:tc>
          <w:tcPr>
            <w:tcW w:w="2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Level</w:t>
            </w:r>
          </w:p>
        </w:tc>
        <w:tc>
          <w:tcPr>
            <w:tcW w:w="35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Cumulative Earnings Per Share</w:t>
            </w:r>
          </w:p>
        </w:tc>
        <w:tc>
          <w:tcPr>
            <w:tcW w:w="9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CAGR</w:t>
            </w:r>
          </w:p>
        </w:tc>
        <w:tc>
          <w:tcPr>
            <w:tcW w:w="438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Awarded Percentage of Tranche 2 PSUs</w:t>
            </w:r>
          </w:p>
        </w:tc>
      </w:tr>
      <w:tr>
        <w:trPr>
          <w:trHeight w:val="179"/>
        </w:trPr>
        <w:tc>
          <w:tcPr>
            <w:tcW w:w="23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Tier 7 (Maximum)</w:t>
            </w:r>
          </w:p>
        </w:tc>
        <w:tc>
          <w:tcPr>
            <w:tcW w:w="35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3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595%</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468%</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340%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213%</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85%</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54%</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1 (Threshold)</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21%</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right"/>
              <w:ind w:right="191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the Company’s Total Share Price Return is </w:t>
      </w:r>
      <w:r>
        <w:rPr>
          <w:rFonts w:ascii="Arial" w:cs="Arial" w:eastAsia="Arial" w:hAnsi="Arial"/>
          <w:sz w:val="22"/>
          <w:szCs w:val="22"/>
          <w:u w:val="single" w:color="auto"/>
          <w:color w:val="auto"/>
        </w:rPr>
        <w:t>less than fifteen percent (15%) below and less than fifteen percent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(15%) above</w:t>
      </w:r>
      <w:r>
        <w:rPr>
          <w:rFonts w:ascii="Arial" w:cs="Arial" w:eastAsia="Arial" w:hAnsi="Arial"/>
          <w:sz w:val="22"/>
          <w:szCs w:val="22"/>
          <w:color w:val="auto"/>
        </w:rPr>
        <w:t xml:space="preserve"> the median Total Share Price Return of the S&amp;P 500 Index:</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Level</w:t>
            </w:r>
          </w:p>
        </w:tc>
        <w:tc>
          <w:tcPr>
            <w:tcW w:w="35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Cumulative Earnings Per Share</w:t>
            </w:r>
          </w:p>
        </w:tc>
        <w:tc>
          <w:tcPr>
            <w:tcW w:w="9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CAGR</w:t>
            </w:r>
          </w:p>
        </w:tc>
        <w:tc>
          <w:tcPr>
            <w:tcW w:w="4380" w:type="dxa"/>
            <w:vAlign w:val="bottom"/>
            <w:tcBorders>
              <w:top w:val="single" w:sz="8" w:color="auto"/>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Awarded Percentage of Tranche 2 PSUs</w:t>
            </w:r>
          </w:p>
        </w:tc>
      </w:tr>
      <w:tr>
        <w:trPr>
          <w:trHeight w:val="179"/>
        </w:trPr>
        <w:tc>
          <w:tcPr>
            <w:tcW w:w="23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rPr>
              <w:t>Tier 7 (Maximum)</w:t>
            </w:r>
          </w:p>
        </w:tc>
        <w:tc>
          <w:tcPr>
            <w:tcW w:w="35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43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700%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550%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400%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250%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 (Target)</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100%</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63%</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1 (Threshold)</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25%</w:t>
            </w:r>
          </w:p>
        </w:tc>
      </w:tr>
      <w:tr>
        <w:trPr>
          <w:trHeight w:val="196"/>
        </w:trPr>
        <w:tc>
          <w:tcPr>
            <w:tcW w:w="23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35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jc w:val="right"/>
              <w:ind w:right="191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 xml:space="preserve">If the Company’s Total Share Price Return </w:t>
      </w:r>
      <w:r>
        <w:rPr>
          <w:rFonts w:ascii="Arial" w:cs="Arial" w:eastAsia="Arial" w:hAnsi="Arial"/>
          <w:sz w:val="22"/>
          <w:szCs w:val="22"/>
          <w:u w:val="single" w:color="auto"/>
          <w:color w:val="auto"/>
        </w:rPr>
        <w:t>fifteen percent (15%) or more above</w:t>
      </w:r>
      <w:r>
        <w:rPr>
          <w:rFonts w:ascii="Arial" w:cs="Arial" w:eastAsia="Arial" w:hAnsi="Arial"/>
          <w:sz w:val="22"/>
          <w:szCs w:val="22"/>
          <w:color w:val="auto"/>
        </w:rPr>
        <w:t xml:space="preserve"> the median Total Share Price Return of the S&amp;P 500 Index:</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Performance Level</w:t>
            </w:r>
          </w:p>
        </w:tc>
        <w:tc>
          <w:tcPr>
            <w:tcW w:w="262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Cumulative</w:t>
            </w:r>
          </w:p>
        </w:tc>
        <w:tc>
          <w:tcPr>
            <w:tcW w:w="1020" w:type="dxa"/>
            <w:vAlign w:val="bottom"/>
            <w:tcBorders>
              <w:top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CAGR</w:t>
            </w:r>
          </w:p>
        </w:tc>
        <w:tc>
          <w:tcPr>
            <w:tcW w:w="5040" w:type="dxa"/>
            <w:vAlign w:val="bottom"/>
            <w:tcBorders>
              <w:top w:val="single" w:sz="8" w:color="auto"/>
              <w:right w:val="single" w:sz="8" w:color="auto"/>
            </w:tcBorders>
          </w:tcPr>
          <w:p>
            <w:pPr>
              <w:jc w:val="right"/>
              <w:ind w:right="730"/>
              <w:spacing w:after="0" w:line="201" w:lineRule="exact"/>
              <w:rPr>
                <w:sz w:val="20"/>
                <w:szCs w:val="20"/>
                <w:color w:val="auto"/>
              </w:rPr>
            </w:pPr>
            <w:r>
              <w:rPr>
                <w:rFonts w:ascii="Arial" w:cs="Arial" w:eastAsia="Arial" w:hAnsi="Arial"/>
                <w:sz w:val="18"/>
                <w:szCs w:val="18"/>
                <w:b w:val="1"/>
                <w:bCs w:val="1"/>
                <w:color w:val="auto"/>
              </w:rPr>
              <w:t>Awarded Percentage of Tranche 2 PSUs</w:t>
            </w:r>
          </w:p>
        </w:tc>
      </w:tr>
      <w:tr>
        <w:trPr>
          <w:trHeight w:val="238"/>
        </w:trPr>
        <w:tc>
          <w:tcPr>
            <w:tcW w:w="2560" w:type="dxa"/>
            <w:vAlign w:val="bottom"/>
            <w:tcBorders>
              <w:left w:val="single" w:sz="8" w:color="auto"/>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Earnings Per Share</w:t>
            </w:r>
          </w:p>
        </w:tc>
        <w:tc>
          <w:tcPr>
            <w:tcW w:w="1020" w:type="dxa"/>
            <w:vAlign w:val="bottom"/>
            <w:tcBorders>
              <w:bottom w:val="single" w:sz="8" w:color="auto"/>
              <w:right w:val="single" w:sz="8" w:color="auto"/>
            </w:tcBorders>
          </w:tcPr>
          <w:p>
            <w:pPr>
              <w:spacing w:after="0"/>
              <w:rPr>
                <w:sz w:val="20"/>
                <w:szCs w:val="20"/>
                <w:color w:val="auto"/>
              </w:rPr>
            </w:pPr>
          </w:p>
        </w:tc>
        <w:tc>
          <w:tcPr>
            <w:tcW w:w="5040" w:type="dxa"/>
            <w:vAlign w:val="bottom"/>
            <w:tcBorders>
              <w:bottom w:val="single" w:sz="8" w:color="auto"/>
              <w:right w:val="single" w:sz="8" w:color="auto"/>
            </w:tcBorders>
          </w:tcPr>
          <w:p>
            <w:pPr>
              <w:spacing w:after="0"/>
              <w:rPr>
                <w:sz w:val="20"/>
                <w:szCs w:val="20"/>
                <w:color w:val="auto"/>
              </w:rPr>
            </w:pPr>
          </w:p>
        </w:tc>
      </w:tr>
      <w:tr>
        <w:trPr>
          <w:trHeight w:val="179"/>
        </w:trPr>
        <w:tc>
          <w:tcPr>
            <w:tcW w:w="25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Tier 7 (Maximum)</w:t>
            </w:r>
          </w:p>
        </w:tc>
        <w:tc>
          <w:tcPr>
            <w:tcW w:w="262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9"/>
              </w:rPr>
              <w:t>805%</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6</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633%</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5</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460%</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4</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288%</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3</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115%</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Tier 2</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72%</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Tier 1 (Threshold)</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29%</w:t>
            </w:r>
          </w:p>
        </w:tc>
      </w:tr>
      <w:tr>
        <w:trPr>
          <w:trHeight w:val="196"/>
        </w:trPr>
        <w:tc>
          <w:tcPr>
            <w:tcW w:w="2560" w:type="dxa"/>
            <w:vAlign w:val="bottom"/>
            <w:tcBorders>
              <w:left w:val="single" w:sz="8" w:color="auto"/>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No Payout</w:t>
            </w:r>
          </w:p>
        </w:tc>
        <w:tc>
          <w:tcPr>
            <w:tcW w:w="26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jc w:val="right"/>
              <w:ind w:right="2230"/>
              <w:spacing w:after="0" w:line="196" w:lineRule="exact"/>
              <w:rPr>
                <w:sz w:val="20"/>
                <w:szCs w:val="20"/>
                <w:color w:val="auto"/>
              </w:rPr>
            </w:pPr>
            <w:r>
              <w:rPr>
                <w:rFonts w:ascii="Arial" w:cs="Arial" w:eastAsia="Arial" w:hAnsi="Arial"/>
                <w:sz w:val="18"/>
                <w:szCs w:val="18"/>
                <w:color w:val="auto"/>
              </w:rPr>
              <w:t>0%</w:t>
            </w:r>
          </w:p>
        </w:tc>
      </w:tr>
    </w:tbl>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the actual performance level of the CAGR of the Company's earnings per share falls in between any of the Performance Levels listed in the schedules above, the percentage of the Tranche 2 PSUs that become Awarded PSUs will be determined based on straight-line interpolation. The CAGR of the Company's earnings per share for the Performance Period will be determined by comparison of the earnings per share, as adjusted by the Committee in its discretion to exclude the effect of certain items that were unusual in nature or infrequently occurring, for the twelve-month period ending December 31, 2025, that is $4.26 per share, to the sum of the earnings per share for the twelve-month periods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3" w:name="page74"/>
    <w:bookmarkEnd w:id="73"/>
    <w:p>
      <w:pPr>
        <w:jc w:val="both"/>
        <w:spacing w:after="0" w:line="234" w:lineRule="auto"/>
        <w:rPr>
          <w:sz w:val="20"/>
          <w:szCs w:val="20"/>
          <w:color w:val="auto"/>
        </w:rPr>
      </w:pPr>
      <w:r>
        <w:rPr>
          <w:rFonts w:ascii="Arial" w:cs="Arial" w:eastAsia="Arial" w:hAnsi="Arial"/>
          <w:sz w:val="22"/>
          <w:szCs w:val="22"/>
          <w:color w:val="auto"/>
        </w:rPr>
        <w:t>ending December 31, 2026, 2027, 2028, 2029, and 2030. For purposes of this Agreement, the Company's earnings per share will be calculated in accordance with generally accepted accounting principles recognized in the United States of America (“GAAP”), except that such calculation will be (i) without regard to the after-tax impact of: (a) the change in estimated acquisition earn-out payables; (b) (gain)/loss on disposal; and (c) amortization, and (ii) subject to adjustment for such items (for example, items that are unusual in nature or infrequently occurring) as, in the discretion of the Committee, are determined to be appropriately disregarded for all grantees whose agreements include a Leveraged EPS Condition. Any such determination and approval made by the Committee will be final and binding upon the Grantee, the Company, their respective heirs, administrators, personal representatives, successors, assigns, and all other interested persons.</w:t>
      </w:r>
    </w:p>
    <w:p>
      <w:pPr>
        <w:spacing w:after="0" w:line="208" w:lineRule="exact"/>
        <w:rPr>
          <w:sz w:val="20"/>
          <w:szCs w:val="20"/>
          <w:color w:val="auto"/>
        </w:rPr>
      </w:pPr>
    </w:p>
    <w:p>
      <w:pPr>
        <w:ind w:left="1440" w:hanging="472"/>
        <w:spacing w:after="0"/>
        <w:tabs>
          <w:tab w:leader="none" w:pos="144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spacing w:after="0" w:line="233" w:lineRule="exact"/>
        <w:rPr>
          <w:rFonts w:ascii="Arial" w:cs="Arial" w:eastAsia="Arial" w:hAnsi="Arial"/>
          <w:sz w:val="22"/>
          <w:szCs w:val="22"/>
          <w:b w:val="1"/>
          <w:bCs w:val="1"/>
          <w:color w:val="auto"/>
        </w:rPr>
      </w:pPr>
    </w:p>
    <w:p>
      <w:pPr>
        <w:ind w:firstLine="1493"/>
        <w:spacing w:after="0" w:line="261" w:lineRule="auto"/>
        <w:tabs>
          <w:tab w:leader="none" w:pos="1971" w:val="left"/>
        </w:tabs>
        <w:numPr>
          <w:ilvl w:val="2"/>
          <w:numId w:val="8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Relative Total Share Price Return</w:t>
      </w:r>
      <w:r>
        <w:rPr>
          <w:rFonts w:ascii="Arial" w:cs="Arial" w:eastAsia="Arial" w:hAnsi="Arial"/>
          <w:sz w:val="22"/>
          <w:szCs w:val="22"/>
          <w:color w:val="auto"/>
        </w:rPr>
        <w:t>” means the Company’s Total Share Price Return as compared to the median Total Share Price Return of the S&amp;P 500 Index.</w:t>
      </w:r>
    </w:p>
    <w:p>
      <w:pPr>
        <w:spacing w:after="0" w:line="178" w:lineRule="exact"/>
        <w:rPr>
          <w:rFonts w:ascii="Arial" w:cs="Arial" w:eastAsia="Arial" w:hAnsi="Arial"/>
          <w:sz w:val="22"/>
          <w:szCs w:val="22"/>
          <w:b w:val="1"/>
          <w:bCs w:val="1"/>
          <w:color w:val="auto"/>
        </w:rPr>
      </w:pPr>
    </w:p>
    <w:p>
      <w:pPr>
        <w:ind w:firstLine="1344"/>
        <w:spacing w:after="0" w:line="261" w:lineRule="auto"/>
        <w:tabs>
          <w:tab w:leader="none" w:pos="1782" w:val="left"/>
        </w:tabs>
        <w:numPr>
          <w:ilvl w:val="1"/>
          <w:numId w:val="8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Share Price</w:t>
      </w:r>
      <w:r>
        <w:rPr>
          <w:rFonts w:ascii="Arial" w:cs="Arial" w:eastAsia="Arial" w:hAnsi="Arial"/>
          <w:sz w:val="22"/>
          <w:szCs w:val="22"/>
          <w:color w:val="auto"/>
        </w:rPr>
        <w:t>” means the average closing share price of the common stock of the Company, par value $.10 per share, during the thirty (30) trading days ended December 31 for an applicable year.</w:t>
      </w:r>
    </w:p>
    <w:p>
      <w:pPr>
        <w:spacing w:after="0" w:line="178" w:lineRule="exact"/>
        <w:rPr>
          <w:rFonts w:ascii="Arial" w:cs="Arial" w:eastAsia="Arial" w:hAnsi="Arial"/>
          <w:sz w:val="22"/>
          <w:szCs w:val="22"/>
          <w:b w:val="1"/>
          <w:bCs w:val="1"/>
          <w:color w:val="auto"/>
        </w:rPr>
      </w:pPr>
    </w:p>
    <w:p>
      <w:pPr>
        <w:jc w:val="both"/>
        <w:ind w:firstLine="2254"/>
        <w:spacing w:after="0" w:line="236" w:lineRule="auto"/>
        <w:tabs>
          <w:tab w:leader="none" w:pos="2692" w:val="left"/>
        </w:tabs>
        <w:numPr>
          <w:ilvl w:val="5"/>
          <w:numId w:val="8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S&amp;P 500 Index</w:t>
      </w:r>
      <w:r>
        <w:rPr>
          <w:rFonts w:ascii="Arial" w:cs="Arial" w:eastAsia="Arial" w:hAnsi="Arial"/>
          <w:sz w:val="22"/>
          <w:szCs w:val="22"/>
          <w:color w:val="auto"/>
        </w:rPr>
        <w:t>” means the Company and each other company included in Standard &amp; Poor’s 500 index as of the first day of the Performance Period; provided, however: (a) in the event that a member of the S&amp;P 500 Index is delisted or is merged with or acquired by another company during the Performance Period, it shall be excluded from the S&amp;P 500 Index; and (b) notwithstanding (a) above, in the event that a member of the S&amp;P 500 Index files for bankruptcy or liquidates due to an insolvency, such company shall continue to be treated as a member of the S&amp;P 500 Index member and shall be placed at the bottom of the S&amp;P 500 Index for purposes of determining the Relative Total Share Price Return.</w:t>
      </w:r>
    </w:p>
    <w:p>
      <w:pPr>
        <w:spacing w:after="0" w:line="202" w:lineRule="exact"/>
        <w:rPr>
          <w:rFonts w:ascii="Arial" w:cs="Arial" w:eastAsia="Arial" w:hAnsi="Arial"/>
          <w:sz w:val="22"/>
          <w:szCs w:val="22"/>
          <w:b w:val="1"/>
          <w:bCs w:val="1"/>
          <w:color w:val="auto"/>
        </w:rPr>
      </w:pPr>
    </w:p>
    <w:p>
      <w:pPr>
        <w:jc w:val="both"/>
        <w:ind w:firstLine="1562"/>
        <w:spacing w:after="0"/>
        <w:tabs>
          <w:tab w:leader="none" w:pos="1920" w:val="left"/>
        </w:tabs>
        <w:numPr>
          <w:ilvl w:val="4"/>
          <w:numId w:val="86"/>
        </w:numPr>
        <w:rPr>
          <w:rFonts w:ascii="Arial" w:cs="Arial" w:eastAsia="Arial" w:hAnsi="Arial"/>
          <w:sz w:val="22"/>
          <w:szCs w:val="22"/>
          <w:b w:val="1"/>
          <w:bCs w:val="1"/>
          <w:color w:val="auto"/>
        </w:rPr>
      </w:pP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Total Share Price Return</w:t>
      </w:r>
      <w:r>
        <w:rPr>
          <w:rFonts w:ascii="Arial" w:cs="Arial" w:eastAsia="Arial" w:hAnsi="Arial"/>
          <w:sz w:val="22"/>
          <w:szCs w:val="22"/>
          <w:color w:val="auto"/>
        </w:rPr>
        <w:t>” means, with respect to both the Company and the S&amp;P 500 Index (and its median), a rate of return reflecting annualized share price appreciation, excluding the reinvestment of dividends in additional shares of stock, from the beginning of the Performance Period through the end of the Performance Period.</w:t>
      </w:r>
    </w:p>
    <w:p>
      <w:pPr>
        <w:spacing w:after="0" w:line="203" w:lineRule="exact"/>
        <w:rPr>
          <w:rFonts w:ascii="Arial" w:cs="Arial" w:eastAsia="Arial" w:hAnsi="Arial"/>
          <w:sz w:val="22"/>
          <w:szCs w:val="22"/>
          <w:b w:val="1"/>
          <w:bCs w:val="1"/>
          <w:color w:val="auto"/>
        </w:rPr>
      </w:pPr>
    </w:p>
    <w:p>
      <w:pPr>
        <w:jc w:val="both"/>
        <w:ind w:firstLine="1505"/>
        <w:spacing w:after="0" w:line="238" w:lineRule="auto"/>
        <w:tabs>
          <w:tab w:leader="none" w:pos="1978" w:val="left"/>
        </w:tabs>
        <w:numPr>
          <w:ilvl w:val="3"/>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Procedure. </w:t>
      </w:r>
      <w:r>
        <w:rPr>
          <w:rFonts w:ascii="Arial" w:cs="Arial" w:eastAsia="Arial" w:hAnsi="Arial"/>
          <w:sz w:val="22"/>
          <w:szCs w:val="22"/>
          <w:color w:val="auto"/>
        </w:rPr>
        <w:t>As soon as administratively practicable, but no later than seventy (70) days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last day of the Performance Period (the “Determination Period”), the Committee will determine the level of achievement of the performance goal applicable to each Tranche. The applicable percentage, if any, of each Tranche will become Awarded PSUs on the date on which the Committee determines the level of achievement of the performance goal applicable to the Tranche (the "General Awarded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4" w:name="page75"/>
    <w:bookmarkEnd w:id="74"/>
    <w:p>
      <w:pPr>
        <w:jc w:val="both"/>
        <w:spacing w:after="0" w:line="233" w:lineRule="auto"/>
        <w:rPr>
          <w:sz w:val="20"/>
          <w:szCs w:val="20"/>
          <w:color w:val="auto"/>
        </w:rPr>
      </w:pPr>
      <w:r>
        <w:rPr>
          <w:rFonts w:ascii="Arial" w:cs="Arial" w:eastAsia="Arial" w:hAnsi="Arial"/>
          <w:sz w:val="22"/>
          <w:szCs w:val="22"/>
          <w:color w:val="auto"/>
        </w:rPr>
        <w:t>Date"), provided that the Grantee has been continuously employed by the Company since the Date of Grant. For the avoidance of doubt, the Committee's determinations of the levels of achievement of the performance goals for the Tranche 1 PSUs and the Tranche 2 PSUs may occur on different dates during the Determination Period, and therefore the General Awarded Dates applicable to the Tranches are not required to be identical. Also for the avoidance of doubt, any reference in this Agreement to Awarded PSUs that does not include a reference to either of the Tranches will be a reference to the PSUs in both Tranches that become Awarded PSUs pursuant to either this Section 3 or Section 5 of the Agreement. The Committee's determination will be based on the actual level of achievement of the applicable performance goal, in accordance with the provisions of the Plan and this Agreement, including, without limitation, the provisions of the Plan and this Agreement relating to adjustment for items that are unusual in nature or infrequently occurring, and the provisions of the Plan relating to the Committee’s authority and discretion to establish procedures for determination of the level of achievement. The Committee's determination will be final, binding, and conclusive on all persons, including but not limited to the Company and the Grantee. The Grantee will not be entitled to any claim or recourse if any action or inaction by the Company, or any other circumstance or event, including any circumstance or event outside the control of the Grantee, adversely affects the level of achievement, or in any way prevents the satisfaction, of the applicable performance goal.</w:t>
      </w:r>
    </w:p>
    <w:p>
      <w:pPr>
        <w:spacing w:after="0" w:line="202" w:lineRule="exact"/>
        <w:rPr>
          <w:sz w:val="20"/>
          <w:szCs w:val="20"/>
          <w:color w:val="auto"/>
        </w:rPr>
      </w:pPr>
    </w:p>
    <w:p>
      <w:pPr>
        <w:jc w:val="both"/>
        <w:ind w:firstLine="968"/>
        <w:spacing w:after="0" w:line="233" w:lineRule="auto"/>
        <w:tabs>
          <w:tab w:leader="none" w:pos="1440" w:val="left"/>
        </w:tabs>
        <w:numPr>
          <w:ilvl w:val="1"/>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5 of this Agreement in the event of a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After Change in Control or the Grantee's death or Disability, if the Grantee's employment with the Company terminates for any reason before the General Awarded Date for a Tranche, the Grantee's interest in one hundred percent (100%) of the PSUs in the Tranche will be forfeited immediately upon the Grantee's termination of employment with the Company. For the avoidance of doubt, any reference in this Agreement to "employment with the Company" or "employed by the Company" or similar references will be deemed to include service as a non-Employee member of the Company's Board of Directors, and a Grantee's continuous employment with the Company will not be considered interrupted in the event of a change in the status of the Grantee from Employee to non-Employee Director, or from non-Employee Director to Employee, or from full-time Employee to part-time Employee. The determination of whether and when the Grantee is no longer actively employed for purposes of this Agreement will be made by the Committee in its discretion. In addition, except as otherwise provided in Section 5 of this Agreement, any PSUs in a Tranche that do not become Awarded PSUs on the General Awarded Date for the Tranche based on the Committee's determination of the level of achievement of the performance goal applicable to the Tranche will be forfeited immediately on such General Awarded Date and will not be eligible to become vested and nonforfeitable in accordance with Section 4 of this Agreement.</w:t>
      </w:r>
    </w:p>
    <w:p>
      <w:pPr>
        <w:spacing w:after="0" w:line="204" w:lineRule="exact"/>
        <w:rPr>
          <w:rFonts w:ascii="Arial" w:cs="Arial" w:eastAsia="Arial" w:hAnsi="Arial"/>
          <w:sz w:val="22"/>
          <w:szCs w:val="22"/>
          <w:b w:val="1"/>
          <w:bCs w:val="1"/>
          <w:color w:val="auto"/>
        </w:rPr>
      </w:pPr>
    </w:p>
    <w:p>
      <w:pPr>
        <w:jc w:val="both"/>
        <w:ind w:firstLine="488"/>
        <w:spacing w:after="0" w:line="245" w:lineRule="auto"/>
        <w:tabs>
          <w:tab w:leader="none" w:pos="9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Condition for Vesting of Awarded PSUs. </w:t>
      </w:r>
      <w:r>
        <w:rPr>
          <w:rFonts w:ascii="Arial" w:cs="Arial" w:eastAsia="Arial" w:hAnsi="Arial"/>
          <w:sz w:val="22"/>
          <w:szCs w:val="22"/>
          <w:color w:val="auto"/>
        </w:rPr>
        <w:t>Except as otherwise provided in Section 5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event of a Termination After Change in Control or the Grantee's death or Disability, the Grantee's interest in the Awarded PSUs will become vested and nonforfeitable at the rate of one third (1/3) of the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Awarded PSUs on the sixth (6th) anniversary of the Date of Grant, an additional one third (1/3) of the Awarded PSUs on the seventh (7th) anniversary of the Date of Grant, and the remaining one third (1/3) of the Awarded PSUs on the eighth (8th) anniversary of the Date of Grant, provided that in all instances the Grantee has been continuously employed by the Company since the Date of Grant. Except as otherwise provided in Section 5 of this Agreement, if the Grantee's employment terminates for any reason before the Grantee's interest in the Awarded PSUs becomes fully vested and nonforfeitable in accordance with this Section 4, the Grantee's interest in the unvested Awarded PSUs will be forfeited.</w:t>
      </w:r>
    </w:p>
    <w:p>
      <w:pPr>
        <w:spacing w:after="0" w:line="201" w:lineRule="exact"/>
        <w:rPr>
          <w:sz w:val="20"/>
          <w:szCs w:val="20"/>
          <w:color w:val="auto"/>
        </w:rPr>
      </w:pPr>
    </w:p>
    <w:p>
      <w:pPr>
        <w:jc w:val="both"/>
        <w:ind w:firstLine="488"/>
        <w:spacing w:after="0" w:line="233" w:lineRule="auto"/>
        <w:tabs>
          <w:tab w:leader="none" w:pos="9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Treatment of PSUs upon Change in Control or Death or Disability. </w:t>
      </w:r>
      <w:r>
        <w:rPr>
          <w:rFonts w:ascii="Arial" w:cs="Arial" w:eastAsia="Arial" w:hAnsi="Arial"/>
          <w:sz w:val="22"/>
          <w:szCs w:val="22"/>
          <w:color w:val="auto"/>
        </w:rPr>
        <w:t>The purpose of this Section 5 is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special rules that may apply to the awarding or vesting, or both the awarding and vesting, of PSUs in the event of a Change in Control, or the Grantee's death or Disability. For the avoidance of doubt, a reference in this Agreement to the occurrence of an event "prior to awarding" or similar references will mean that the event occurs before the Committee determines the level of achievement of the applicable performance goal in accordance with Section 3(d) of this Agreement, and therefore before any portion of the affected PSUs become Awarded PSUs in accordance with Section 3(d) of this Agreement, or if applicable in the event of a Change in Control, before the Committee determines the level of achievement of the applicable performance goal in accordance with Section 5(a)</w:t>
      </w:r>
    </w:p>
    <w:p>
      <w:pPr>
        <w:spacing w:after="0" w:line="1" w:lineRule="exact"/>
        <w:rPr>
          <w:rFonts w:ascii="Arial" w:cs="Arial" w:eastAsia="Arial" w:hAnsi="Arial"/>
          <w:sz w:val="22"/>
          <w:szCs w:val="22"/>
          <w:b w:val="1"/>
          <w:bCs w:val="1"/>
          <w:color w:val="auto"/>
        </w:rPr>
      </w:pPr>
    </w:p>
    <w:p>
      <w:pPr>
        <w:jc w:val="both"/>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(1)(A) of this Agreement, and therefore before any portion of the affected PSUs become Awarded PSUs in accordance with Section 5(a)(1)(A) of this Agreement. Similarly, a reference to the occurrence of an event "after awarding" or similar references will mean that the event occurs after the Committee determines the level of achievement of the applicable performance goal in accordance with Section 3(d) of this Agreement, and therefore after the applicable portion, if any, of the affected PSUs have become Awarded PSUs in accordance with Section 3(d) of this Agreement, or if applicable in the event of a Change in Control, after the Committee determines the level of achievement of the applicable performance goal in accordance with Section 5(a)(1)(A) of this Agreement, and therefore after the applicable portion, if any, of the affected PSUs become Awarded PSUs in accordance with Section 5(a)(1)(A) of this Agreement.</w:t>
      </w:r>
    </w:p>
    <w:p>
      <w:pPr>
        <w:spacing w:after="0" w:line="207" w:lineRule="exact"/>
        <w:rPr>
          <w:rFonts w:ascii="Arial" w:cs="Arial" w:eastAsia="Arial" w:hAnsi="Arial"/>
          <w:sz w:val="22"/>
          <w:szCs w:val="22"/>
          <w:b w:val="1"/>
          <w:bCs w:val="1"/>
          <w:color w:val="auto"/>
        </w:rPr>
      </w:pPr>
    </w:p>
    <w:p>
      <w:pPr>
        <w:ind w:left="1440" w:hanging="472"/>
        <w:spacing w:after="0"/>
        <w:tabs>
          <w:tab w:leader="none" w:pos="1440" w:val="left"/>
        </w:tabs>
        <w:numPr>
          <w:ilvl w:val="1"/>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33" w:lineRule="exact"/>
        <w:rPr>
          <w:rFonts w:ascii="Arial" w:cs="Arial" w:eastAsia="Arial" w:hAnsi="Arial"/>
          <w:sz w:val="22"/>
          <w:szCs w:val="22"/>
          <w:b w:val="1"/>
          <w:bCs w:val="1"/>
          <w:color w:val="auto"/>
        </w:rPr>
      </w:pPr>
    </w:p>
    <w:p>
      <w:pPr>
        <w:ind w:left="2200" w:hanging="483"/>
        <w:spacing w:after="0"/>
        <w:tabs>
          <w:tab w:leader="none" w:pos="2200" w:val="left"/>
        </w:tabs>
        <w:numPr>
          <w:ilvl w:val="2"/>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Prior to General Awarded Date.</w:t>
      </w:r>
    </w:p>
    <w:p>
      <w:pPr>
        <w:spacing w:after="0" w:line="233" w:lineRule="exact"/>
        <w:rPr>
          <w:rFonts w:ascii="Arial" w:cs="Arial" w:eastAsia="Arial" w:hAnsi="Arial"/>
          <w:sz w:val="22"/>
          <w:szCs w:val="22"/>
          <w:b w:val="1"/>
          <w:bCs w:val="1"/>
          <w:color w:val="auto"/>
        </w:rPr>
      </w:pPr>
    </w:p>
    <w:p>
      <w:pPr>
        <w:jc w:val="both"/>
        <w:ind w:firstLine="2238"/>
        <w:spacing w:after="0" w:line="238" w:lineRule="auto"/>
        <w:tabs>
          <w:tab w:leader="none" w:pos="2669" w:val="left"/>
        </w:tabs>
        <w:numPr>
          <w:ilvl w:val="3"/>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Awarding of PSUs Following Change in Control. </w:t>
      </w:r>
      <w:r>
        <w:rPr>
          <w:rFonts w:ascii="Arial" w:cs="Arial" w:eastAsia="Arial" w:hAnsi="Arial"/>
          <w:sz w:val="22"/>
          <w:szCs w:val="22"/>
          <w:color w:val="auto"/>
        </w:rPr>
        <w:t>If a Change in Control occurs after</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of Grant but prior to awarding or forfeiture of the Grantee's interest in the PSUs, a percentage of each of the Tranche 1 PSUs and the Tranche 2 PSUs will become Awarded PSUs, provided that the Grantee has been continuously employed by the Company since the Date of Grant. The percentage of the PSUs in each Tranche that become Awarded PSUs will be the greater of:</w:t>
      </w:r>
    </w:p>
    <w:p>
      <w:pPr>
        <w:spacing w:after="0" w:line="205" w:lineRule="exact"/>
        <w:rPr>
          <w:rFonts w:ascii="Arial" w:cs="Arial" w:eastAsia="Arial" w:hAnsi="Arial"/>
          <w:sz w:val="22"/>
          <w:szCs w:val="22"/>
          <w:b w:val="1"/>
          <w:bCs w:val="1"/>
          <w:color w:val="auto"/>
        </w:rPr>
      </w:pPr>
    </w:p>
    <w:p>
      <w:pPr>
        <w:ind w:left="3160" w:hanging="483"/>
        <w:spacing w:after="0"/>
        <w:tabs>
          <w:tab w:leader="none" w:pos="3160" w:val="left"/>
        </w:tabs>
        <w:numPr>
          <w:ilvl w:val="4"/>
          <w:numId w:val="89"/>
        </w:numPr>
        <w:rPr>
          <w:rFonts w:ascii="Arial" w:cs="Arial" w:eastAsia="Arial" w:hAnsi="Arial"/>
          <w:sz w:val="22"/>
          <w:szCs w:val="22"/>
          <w:b w:val="1"/>
          <w:bCs w:val="1"/>
          <w:color w:val="auto"/>
        </w:rPr>
      </w:pPr>
      <w:r>
        <w:rPr>
          <w:rFonts w:ascii="Arial" w:cs="Arial" w:eastAsia="Arial" w:hAnsi="Arial"/>
          <w:sz w:val="22"/>
          <w:szCs w:val="22"/>
          <w:color w:val="auto"/>
        </w:rPr>
        <w:t>100% of the PSUs in the Tranche; or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6" w:name="page77"/>
    <w:bookmarkEnd w:id="76"/>
    <w:p>
      <w:pPr>
        <w:jc w:val="both"/>
        <w:ind w:firstLine="3752"/>
        <w:spacing w:after="0" w:line="238" w:lineRule="auto"/>
        <w:tabs>
          <w:tab w:leader="none" w:pos="4224" w:val="left"/>
        </w:tabs>
        <w:numPr>
          <w:ilvl w:val="0"/>
          <w:numId w:val="90"/>
        </w:numPr>
        <w:rPr>
          <w:rFonts w:ascii="Arial" w:cs="Arial" w:eastAsia="Arial" w:hAnsi="Arial"/>
          <w:sz w:val="22"/>
          <w:szCs w:val="22"/>
          <w:b w:val="1"/>
          <w:bCs w:val="1"/>
          <w:color w:val="auto"/>
        </w:rPr>
      </w:pPr>
      <w:r>
        <w:rPr>
          <w:rFonts w:ascii="Arial" w:cs="Arial" w:eastAsia="Arial" w:hAnsi="Arial"/>
          <w:sz w:val="22"/>
          <w:szCs w:val="22"/>
          <w:color w:val="auto"/>
        </w:rPr>
        <w:t>the percentage of the PSUs in the applicable Tranche determined in accordance with the schedule in Section 3(a) with respect to the Tranche 1 PSUs or Section 3(b) with respect to the Tranche 2 PSUs, based on the actual level of achievement (up to the maximum level of achievement for each Tranche set forth in Section 3) of the performance goal applicable to the Tranche from the first day of the Performance Period to the date on which the Change in Control occurs.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applicable percentage of each Tranche will become Awarded PSUs on the date on which the Committee determines the level of achievement of the performance goal applicable to the Tranche (the "Change in Control Awarded Date"). For purposes of such determinations by the Committee, the Determination Period will end no later than seventy (70) days following the date on which the Change in Control occurs. For the avoidance of doubt, the Committee's determinations of the achievement of the performance goals for the Tranche 1 PSUs and the Tranche 2 PSUs may occur on different dates, and therefore the Change in Control Awarded Dates applicable to the Tranches are not required to be identical. The Committee's determination will be based on the actual level of achievement of the applicable performance goal, in accordance with the provisions of the Plan and this Agreement, including, without limitation, the provisions of the Plan and this Agreement relating to adjustment for items that are unusual in nature or infrequently occurring, and the provisions of the Plan relating to the Committee’s authority and discretion to establish procedures for determination of the level of achievement. The Committee's determination will be final, binding, and conclusive on all persons, including but not limited to the Company and the Grantee. The Grantee will not be entitled to any claim or recourse if any action or inaction by the Company, or any other circumstance or event, including any circumstance or event outside the control of the Grantee, adversely affects the level of achievement, or in any way prevents the satisfaction, of the applicable performance goal.</w:t>
      </w:r>
    </w:p>
    <w:p>
      <w:pPr>
        <w:spacing w:after="0" w:line="202" w:lineRule="exact"/>
        <w:rPr>
          <w:sz w:val="20"/>
          <w:szCs w:val="20"/>
          <w:color w:val="auto"/>
        </w:rPr>
      </w:pPr>
    </w:p>
    <w:p>
      <w:pPr>
        <w:jc w:val="both"/>
        <w:ind w:firstLine="3003"/>
        <w:spacing w:after="0" w:line="233" w:lineRule="auto"/>
        <w:tabs>
          <w:tab w:leader="none" w:pos="3475"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of Awarded PSUs Following Change in Control Awarded Date. </w:t>
      </w:r>
      <w:r>
        <w:rPr>
          <w:rFonts w:ascii="Arial" w:cs="Arial" w:eastAsia="Arial" w:hAnsi="Arial"/>
          <w:sz w:val="22"/>
          <w:szCs w:val="22"/>
          <w:color w:val="auto"/>
        </w:rPr>
        <w:t>Unless the Grantee's employment with the Company terminates by reason of Termination After Change in Control (as defined below) after the Change in Control Awarded Date but before the Grantee's interest in the Awarded PSUs becomes fully vested and nonforfeitable in accordance with Section 4 of this Agreement, the Grantee's interest in the PSUs that become Awarded PSUs in accordance with Section 5(a)(1)(A) above will become fully vested and nonforfeitable at the rate of one third (1/3) of the Awarded PSUs on the sixth (6th) anniversary of the Date of Grant, an additional one third (1/3) of the Awarded PSUs on the seventh (7th) anniversary of the Date of Grant, and the remaining one third (1/3) of the Awarded PSUs on the eighth (8th) anniversary of the Date of Grant, provided that the Grantee has been continuously employed by the Company since the Date of Grant. However, if the Grantee’s employment with the Company terminates by reason of Termination After Change in Control (as defined below) but before the Grantee's interest in the Awarded PSUs becomes fully vested and nonforfeitable in accordance with Section 4 of this Agreement, the PSUs that become Awarded PSUs in accordance with Section 5(a)(1)(A) above will become fully vested and nonforfeitable as of the date of such Termination After Change in Control. For purposes of this Section 5(a), the following definitions will apply:</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7" w:name="page78"/>
    <w:bookmarkEnd w:id="77"/>
    <w:p>
      <w:pPr>
        <w:ind w:right="60" w:firstLine="2826"/>
        <w:spacing w:after="0" w:line="259" w:lineRule="auto"/>
        <w:tabs>
          <w:tab w:leader="none" w:pos="3248"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“Termination After Change in Control” will mean either of the following events occurring after a Change in Control:</w:t>
      </w:r>
    </w:p>
    <w:p>
      <w:pPr>
        <w:spacing w:after="0" w:line="183" w:lineRule="exact"/>
        <w:rPr>
          <w:rFonts w:ascii="Arial" w:cs="Arial" w:eastAsia="Arial" w:hAnsi="Arial"/>
          <w:sz w:val="22"/>
          <w:szCs w:val="22"/>
          <w:b w:val="1"/>
          <w:bCs w:val="1"/>
          <w:color w:val="auto"/>
        </w:rPr>
      </w:pPr>
    </w:p>
    <w:p>
      <w:pPr>
        <w:ind w:right="60" w:firstLine="3051"/>
        <w:spacing w:after="0" w:line="245" w:lineRule="auto"/>
        <w:tabs>
          <w:tab w:leader="none" w:pos="3361" w:val="left"/>
        </w:tabs>
        <w:numPr>
          <w:ilvl w:val="1"/>
          <w:numId w:val="92"/>
        </w:numPr>
        <w:rPr>
          <w:rFonts w:ascii="Arial" w:cs="Arial" w:eastAsia="Arial" w:hAnsi="Arial"/>
          <w:sz w:val="22"/>
          <w:szCs w:val="22"/>
          <w:b w:val="1"/>
          <w:bCs w:val="1"/>
          <w:color w:val="auto"/>
        </w:rPr>
      </w:pPr>
      <w:r>
        <w:rPr>
          <w:rFonts w:ascii="Arial" w:cs="Arial" w:eastAsia="Arial" w:hAnsi="Arial"/>
          <w:sz w:val="22"/>
          <w:szCs w:val="22"/>
          <w:color w:val="auto"/>
        </w:rPr>
        <w:t>termination by the Company of the Grantee’s employment with the Company, within twelve (12) months following a Change in Control, for any reason other than Termination for Cause (as defined below); or</w:t>
      </w:r>
    </w:p>
    <w:p>
      <w:pPr>
        <w:spacing w:after="0" w:line="197" w:lineRule="exact"/>
        <w:rPr>
          <w:rFonts w:ascii="Arial" w:cs="Arial" w:eastAsia="Arial" w:hAnsi="Arial"/>
          <w:sz w:val="22"/>
          <w:szCs w:val="22"/>
          <w:b w:val="1"/>
          <w:bCs w:val="1"/>
          <w:color w:val="auto"/>
        </w:rPr>
      </w:pPr>
    </w:p>
    <w:p>
      <w:pPr>
        <w:ind w:left="3840" w:hanging="681"/>
        <w:spacing w:after="0"/>
        <w:tabs>
          <w:tab w:leader="none" w:pos="3840" w:val="left"/>
        </w:tabs>
        <w:numPr>
          <w:ilvl w:val="2"/>
          <w:numId w:val="92"/>
        </w:numPr>
        <w:rPr>
          <w:rFonts w:ascii="Arial" w:cs="Arial" w:eastAsia="Arial" w:hAnsi="Arial"/>
          <w:sz w:val="22"/>
          <w:szCs w:val="22"/>
          <w:b w:val="1"/>
          <w:bCs w:val="1"/>
          <w:color w:val="auto"/>
        </w:rPr>
      </w:pPr>
      <w:r>
        <w:rPr>
          <w:rFonts w:ascii="Arial" w:cs="Arial" w:eastAsia="Arial" w:hAnsi="Arial"/>
          <w:sz w:val="22"/>
          <w:szCs w:val="22"/>
          <w:color w:val="auto"/>
        </w:rPr>
        <w:t>upon Grantee’s Constructive Termination (as defined below), the Grantee’</w:t>
      </w:r>
    </w:p>
    <w:p>
      <w:pPr>
        <w:spacing w:after="0" w:line="10"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resignation from employment with the Company within twelve (12) months following the Change in Control.</w:t>
      </w:r>
    </w:p>
    <w:p>
      <w:pPr>
        <w:spacing w:after="0" w:line="213" w:lineRule="exact"/>
        <w:rPr>
          <w:sz w:val="20"/>
          <w:szCs w:val="20"/>
          <w:color w:val="auto"/>
        </w:rPr>
      </w:pPr>
    </w:p>
    <w:p>
      <w:pPr>
        <w:jc w:val="both"/>
        <w:ind w:right="60"/>
        <w:spacing w:after="0" w:line="251" w:lineRule="auto"/>
        <w:rPr>
          <w:sz w:val="20"/>
          <w:szCs w:val="20"/>
          <w:color w:val="auto"/>
        </w:rPr>
      </w:pPr>
      <w:r>
        <w:rPr>
          <w:rFonts w:ascii="Arial" w:cs="Arial" w:eastAsia="Arial" w:hAnsi="Arial"/>
          <w:sz w:val="21"/>
          <w:szCs w:val="21"/>
          <w:color w:val="auto"/>
        </w:rPr>
        <w:t>Notwithstanding any provision herein to the contrary, Termination After Change in Control will not include any termination of the Grantee’s employment with the Company which: (i) is a Termination for Cause (as defined below);</w:t>
      </w:r>
    </w:p>
    <w:p>
      <w:pPr>
        <w:spacing w:after="0" w:line="1" w:lineRule="exact"/>
        <w:rPr>
          <w:sz w:val="20"/>
          <w:szCs w:val="20"/>
          <w:color w:val="auto"/>
        </w:rPr>
      </w:pPr>
    </w:p>
    <w:p>
      <w:pPr>
        <w:jc w:val="both"/>
        <w:ind w:right="60" w:firstLine="8"/>
        <w:spacing w:after="0" w:line="237" w:lineRule="auto"/>
        <w:tabs>
          <w:tab w:leader="none" w:pos="305" w:val="left"/>
        </w:tabs>
        <w:numPr>
          <w:ilvl w:val="0"/>
          <w:numId w:val="93"/>
        </w:numPr>
        <w:rPr>
          <w:rFonts w:ascii="Arial" w:cs="Arial" w:eastAsia="Arial" w:hAnsi="Arial"/>
          <w:sz w:val="22"/>
          <w:szCs w:val="22"/>
          <w:color w:val="auto"/>
        </w:rPr>
      </w:pPr>
      <w:r>
        <w:rPr>
          <w:rFonts w:ascii="Arial" w:cs="Arial" w:eastAsia="Arial" w:hAnsi="Arial"/>
          <w:sz w:val="22"/>
          <w:szCs w:val="22"/>
          <w:color w:val="auto"/>
        </w:rPr>
        <w:t>is a result of the Grantee’s death or Disability; (iii) is a result of the Grantee’s voluntary termination of employment with the Company other than upon Constructive Termination (as defined below); or (iv) occurs prior to the effectiveness of a Change in Control.</w:t>
      </w:r>
    </w:p>
    <w:p>
      <w:pPr>
        <w:spacing w:after="0" w:line="202" w:lineRule="exact"/>
        <w:rPr>
          <w:rFonts w:ascii="Arial" w:cs="Arial" w:eastAsia="Arial" w:hAnsi="Arial"/>
          <w:sz w:val="22"/>
          <w:szCs w:val="22"/>
          <w:color w:val="auto"/>
        </w:rPr>
      </w:pPr>
    </w:p>
    <w:p>
      <w:pPr>
        <w:ind w:right="60" w:firstLine="2597"/>
        <w:spacing w:after="0" w:line="235" w:lineRule="auto"/>
        <w:tabs>
          <w:tab w:leader="none" w:pos="2979" w:val="left"/>
        </w:tabs>
        <w:numPr>
          <w:ilvl w:val="2"/>
          <w:numId w:val="93"/>
        </w:numPr>
        <w:rPr>
          <w:rFonts w:ascii="Arial" w:cs="Arial" w:eastAsia="Arial" w:hAnsi="Arial"/>
          <w:sz w:val="22"/>
          <w:szCs w:val="22"/>
          <w:b w:val="1"/>
          <w:bCs w:val="1"/>
          <w:color w:val="auto"/>
        </w:rPr>
      </w:pPr>
      <w:r>
        <w:rPr>
          <w:rFonts w:ascii="Arial" w:cs="Arial" w:eastAsia="Arial" w:hAnsi="Arial"/>
          <w:sz w:val="22"/>
          <w:szCs w:val="22"/>
          <w:color w:val="auto"/>
        </w:rPr>
        <w:t>“Termination for Cause” will mean termination by the Company of the Grantee’s employment with the Company for any of the following reasons: (i) theft, dishonesty, or falsification of any employment or Company records; (ii) the Grantee’s failure or inability to perform any reasonable assigned duties after written notice from the Company of, and a reasonable opportunity to cure, such continued failure or inability; (iii) any material breach by the Grantee of any employment agreement between the Grantee and Company, which breach is not cured pursuant to the terms of such agreement; or (iv) the Grantee’s conviction of any criminal act which, in the Company’s discretion, impairs Grantee’s ability to perform his or her duties with the Company. Termination for Cause pursuant to the foregoing will be determined in the discretion of the Company.</w:t>
      </w:r>
    </w:p>
    <w:p>
      <w:pPr>
        <w:spacing w:after="0" w:line="205" w:lineRule="exact"/>
        <w:rPr>
          <w:rFonts w:ascii="Arial" w:cs="Arial" w:eastAsia="Arial" w:hAnsi="Arial"/>
          <w:sz w:val="22"/>
          <w:szCs w:val="22"/>
          <w:b w:val="1"/>
          <w:bCs w:val="1"/>
          <w:color w:val="auto"/>
        </w:rPr>
      </w:pPr>
    </w:p>
    <w:p>
      <w:pPr>
        <w:ind w:left="2940" w:hanging="532"/>
        <w:spacing w:after="0"/>
        <w:tabs>
          <w:tab w:leader="none" w:pos="2940" w:val="left"/>
        </w:tabs>
        <w:numPr>
          <w:ilvl w:val="1"/>
          <w:numId w:val="93"/>
        </w:numPr>
        <w:rPr>
          <w:rFonts w:ascii="Arial" w:cs="Arial" w:eastAsia="Arial" w:hAnsi="Arial"/>
          <w:sz w:val="22"/>
          <w:szCs w:val="22"/>
          <w:b w:val="1"/>
          <w:bCs w:val="1"/>
          <w:color w:val="auto"/>
        </w:rPr>
      </w:pPr>
      <w:r>
        <w:rPr>
          <w:rFonts w:ascii="Arial" w:cs="Arial" w:eastAsia="Arial" w:hAnsi="Arial"/>
          <w:sz w:val="22"/>
          <w:szCs w:val="22"/>
          <w:color w:val="auto"/>
        </w:rPr>
        <w:t>“Constructive Termination” will mean any one or more of the following:</w:t>
      </w:r>
    </w:p>
    <w:p>
      <w:pPr>
        <w:spacing w:after="0" w:line="231" w:lineRule="exact"/>
        <w:rPr>
          <w:rFonts w:ascii="Arial" w:cs="Arial" w:eastAsia="Arial" w:hAnsi="Arial"/>
          <w:sz w:val="22"/>
          <w:szCs w:val="22"/>
          <w:b w:val="1"/>
          <w:bCs w:val="1"/>
          <w:color w:val="auto"/>
        </w:rPr>
      </w:pPr>
    </w:p>
    <w:p>
      <w:pPr>
        <w:ind w:right="60" w:firstLine="2948"/>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without the Grantee’s express written consent, the assignment to the Grantee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duties, or any limitation of the Grantee’s responsibilities, substantially inconsistent with and resulting in a material diminution of the Grantee’s positions, duties, responsibilities and status with the Company immediately prior to the date of a Change in Control;</w:t>
      </w:r>
    </w:p>
    <w:p>
      <w:pPr>
        <w:spacing w:after="0" w:line="203" w:lineRule="exact"/>
        <w:rPr>
          <w:rFonts w:ascii="Arial" w:cs="Arial" w:eastAsia="Arial" w:hAnsi="Arial"/>
          <w:sz w:val="22"/>
          <w:szCs w:val="22"/>
          <w:b w:val="1"/>
          <w:bCs w:val="1"/>
          <w:color w:val="auto"/>
        </w:rPr>
      </w:pPr>
    </w:p>
    <w:p>
      <w:pPr>
        <w:jc w:val="both"/>
        <w:ind w:right="60" w:firstLine="2894"/>
        <w:spacing w:after="0" w:line="238"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without the Grantee’s express written consent, the relocation of the principal place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Grantee’s employment to a location that is more than fifty (50) miles from the Grantee’s principal place of employment immediately prior to the date of a Change in Control, or the imposition of travel requirements substantially more demanding of the Grantee than such travel requirements existing immediately prior to the date of a Change in Control;</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9" w:right="279" w:bottom="1440" w:gutter="0" w:footer="0" w:header="0"/>
        </w:sectPr>
      </w:pPr>
    </w:p>
    <w:bookmarkStart w:id="78" w:name="page79"/>
    <w:bookmarkEnd w:id="78"/>
    <w:p>
      <w:pPr>
        <w:ind w:left="3360" w:hanging="431"/>
        <w:spacing w:after="0"/>
        <w:tabs>
          <w:tab w:leader="none" w:pos="3360" w:val="left"/>
        </w:tabs>
        <w:numPr>
          <w:ilvl w:val="1"/>
          <w:numId w:val="94"/>
        </w:numPr>
        <w:rPr>
          <w:rFonts w:ascii="Arial" w:cs="Arial" w:eastAsia="Arial" w:hAnsi="Arial"/>
          <w:sz w:val="22"/>
          <w:szCs w:val="22"/>
          <w:b w:val="1"/>
          <w:bCs w:val="1"/>
          <w:color w:val="auto"/>
        </w:rPr>
      </w:pPr>
      <w:r>
        <w:rPr>
          <w:rFonts w:ascii="Arial" w:cs="Arial" w:eastAsia="Arial" w:hAnsi="Arial"/>
          <w:sz w:val="22"/>
          <w:szCs w:val="22"/>
          <w:color w:val="auto"/>
        </w:rPr>
        <w:t>any failure by the Company to pay, or any material reduction by the Company of,</w:t>
      </w:r>
    </w:p>
    <w:p>
      <w:pPr>
        <w:spacing w:after="0" w:line="10" w:lineRule="exact"/>
        <w:rPr>
          <w:rFonts w:ascii="Arial" w:cs="Arial" w:eastAsia="Arial" w:hAnsi="Arial"/>
          <w:sz w:val="22"/>
          <w:szCs w:val="22"/>
          <w:b w:val="1"/>
          <w:bCs w:val="1"/>
          <w:color w:val="auto"/>
        </w:rPr>
      </w:pPr>
    </w:p>
    <w:p>
      <w:pPr>
        <w:jc w:val="both"/>
        <w:ind w:firstLine="8"/>
        <w:spacing w:after="0" w:line="234" w:lineRule="auto"/>
        <w:tabs>
          <w:tab w:leader="none" w:pos="2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Grantee’s base salary in effect immediately prior to the date of the Change in Control (unless comparable reductions are concurrently made for all other employees of the Company with responsibilities, organizational level and title comparable to the Grantee’s), or (ii) the Grantee’s bonus compensation, if any, in effect immediately prior to the date of the Change in Control (subject to applicable performance requirements with respect to the actual amount of bonus compensation earned by the Grantee); or</w:t>
      </w:r>
    </w:p>
    <w:p>
      <w:pPr>
        <w:spacing w:after="0" w:line="204" w:lineRule="exact"/>
        <w:rPr>
          <w:rFonts w:ascii="Arial" w:cs="Arial" w:eastAsia="Arial" w:hAnsi="Arial"/>
          <w:sz w:val="22"/>
          <w:szCs w:val="22"/>
          <w:color w:val="auto"/>
        </w:rPr>
      </w:pPr>
    </w:p>
    <w:p>
      <w:pPr>
        <w:ind w:firstLine="3145"/>
        <w:spacing w:after="0" w:line="234" w:lineRule="auto"/>
        <w:tabs>
          <w:tab w:leader="none" w:pos="3361" w:val="left"/>
        </w:tabs>
        <w:numPr>
          <w:ilvl w:val="2"/>
          <w:numId w:val="95"/>
        </w:numPr>
        <w:rPr>
          <w:rFonts w:ascii="Arial" w:cs="Arial" w:eastAsia="Arial" w:hAnsi="Arial"/>
          <w:sz w:val="22"/>
          <w:szCs w:val="22"/>
          <w:b w:val="1"/>
          <w:bCs w:val="1"/>
          <w:color w:val="auto"/>
        </w:rPr>
      </w:pPr>
      <w:r>
        <w:rPr>
          <w:rFonts w:ascii="Arial" w:cs="Arial" w:eastAsia="Arial" w:hAnsi="Arial"/>
          <w:sz w:val="22"/>
          <w:szCs w:val="22"/>
          <w:color w:val="auto"/>
        </w:rPr>
        <w:t>any failure by the Company to (i) continue to provide the Grantee with the opportunity to participate, on terms no less favorable than those in effect for the benefit of any employee group which customarily includes a person holding the employment position or a comparable position with the Company then held by the Grantee, in any benefit or compensation plans and programs, including, but not limited to, the Company’s life, disability, health, dental, medical, savings, profit sharing, stock purchase and retirement plans, if any, in which the Grantee was participating immediately prior to the date of the Change in Control, or their equivalent, or (ii) provide the Grantee with all other fringe benefits (or their equivalent) from time to time in effect for the benefit of any employee group which customarily includes a person holding the employment position or a comparable position with the Company then held by the Grantee.</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must provide written notice to the Company of the existence of one or more adverse conditions specified in clauses a. through d. above within ninety (90) days of the initial existence of the adverse condition(s), and the effective date of the Grantee’s resignation must be within one (1) year following the effective date of the occurrence of the applicable adverse condition(s). Notwithstanding the foregoing provisions of this definition of Constructive Termination, if the Company remedies the adverse condition(s) within thirty (30) days of being notified of the adverse condition(s), no Constructive Termination will occur.</w:t>
      </w:r>
    </w:p>
    <w:p>
      <w:pPr>
        <w:spacing w:after="0" w:line="207" w:lineRule="exact"/>
        <w:rPr>
          <w:sz w:val="20"/>
          <w:szCs w:val="20"/>
          <w:color w:val="auto"/>
        </w:rPr>
      </w:pPr>
    </w:p>
    <w:p>
      <w:pPr>
        <w:jc w:val="both"/>
        <w:ind w:firstLine="2254"/>
        <w:spacing w:after="0" w:line="238" w:lineRule="auto"/>
        <w:tabs>
          <w:tab w:leader="none" w:pos="2726" w:val="left"/>
        </w:tabs>
        <w:numPr>
          <w:ilvl w:val="1"/>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On or After General Awarded Date. </w:t>
      </w:r>
      <w:r>
        <w:rPr>
          <w:rFonts w:ascii="Arial" w:cs="Arial" w:eastAsia="Arial" w:hAnsi="Arial"/>
          <w:sz w:val="22"/>
          <w:szCs w:val="22"/>
          <w:color w:val="auto"/>
        </w:rPr>
        <w:t>If the Grantee’s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terminates by reason of Termination After Change in Control after the General Awarded Date, but before the Grantee's interest in the Awarded PSUs becomes fully vested and nonforfeitable in accordance with Section 4 of this Agreement or is forfeited, the Awarded PSUs will become fully vested and nonforfeitable as of the date of such Termination After Change in Control.</w:t>
      </w:r>
    </w:p>
    <w:p>
      <w:pPr>
        <w:spacing w:after="0" w:line="203" w:lineRule="exact"/>
        <w:rPr>
          <w:rFonts w:ascii="Arial" w:cs="Arial" w:eastAsia="Arial" w:hAnsi="Arial"/>
          <w:sz w:val="22"/>
          <w:szCs w:val="22"/>
          <w:b w:val="1"/>
          <w:bCs w:val="1"/>
          <w:color w:val="auto"/>
        </w:rPr>
      </w:pPr>
    </w:p>
    <w:p>
      <w:pPr>
        <w:ind w:left="1980" w:hanging="475"/>
        <w:spacing w:after="0"/>
        <w:tabs>
          <w:tab w:leader="none" w:pos="19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Death or Disability.</w:t>
      </w:r>
    </w:p>
    <w:p>
      <w:pPr>
        <w:spacing w:after="0" w:line="233" w:lineRule="exact"/>
        <w:rPr>
          <w:rFonts w:ascii="Arial" w:cs="Arial" w:eastAsia="Arial" w:hAnsi="Arial"/>
          <w:sz w:val="22"/>
          <w:szCs w:val="22"/>
          <w:b w:val="1"/>
          <w:bCs w:val="1"/>
          <w:color w:val="auto"/>
        </w:rPr>
      </w:pPr>
    </w:p>
    <w:p>
      <w:pPr>
        <w:jc w:val="both"/>
        <w:ind w:firstLine="2254"/>
        <w:spacing w:after="0"/>
        <w:tabs>
          <w:tab w:leader="none" w:pos="2726" w:val="left"/>
        </w:tabs>
        <w:numPr>
          <w:ilvl w:val="1"/>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Prior to Awarding. </w:t>
      </w:r>
      <w:r>
        <w:rPr>
          <w:rFonts w:ascii="Arial" w:cs="Arial" w:eastAsia="Arial" w:hAnsi="Arial"/>
          <w:sz w:val="22"/>
          <w:szCs w:val="22"/>
          <w:color w:val="auto"/>
        </w:rPr>
        <w:t>If Grantee dies or becomes Disabled prior to awarding or forfeiture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Grantee's interest in the PSUs, a portion of the PSUs will become vested and nonforfeitable on the date of the Grantee's death or Disability. The portion of the PSUs that will become vested and nonforfeitable pursuant to this Section 5(b)(1) will be equal to the following:</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9" w:name="page80"/>
    <w:bookmarkEnd w:id="79"/>
    <w:p>
      <w:pPr>
        <w:jc w:val="both"/>
        <w:ind w:firstLine="2238"/>
        <w:spacing w:after="0" w:line="245" w:lineRule="auto"/>
        <w:tabs>
          <w:tab w:leader="none" w:pos="2669" w:val="left"/>
        </w:tabs>
        <w:numPr>
          <w:ilvl w:val="4"/>
          <w:numId w:val="98"/>
        </w:numPr>
        <w:rPr>
          <w:rFonts w:ascii="Arial" w:cs="Arial" w:eastAsia="Arial" w:hAnsi="Arial"/>
          <w:sz w:val="22"/>
          <w:szCs w:val="22"/>
          <w:b w:val="1"/>
          <w:bCs w:val="1"/>
          <w:color w:val="auto"/>
        </w:rPr>
      </w:pPr>
      <w:r>
        <w:rPr>
          <w:rFonts w:ascii="Arial" w:cs="Arial" w:eastAsia="Arial" w:hAnsi="Arial"/>
          <w:sz w:val="22"/>
          <w:szCs w:val="22"/>
          <w:color w:val="auto"/>
        </w:rPr>
        <w:t>a fraction, the numerator of which will equal the number of full months of the Grantee's employment with the Company during the Performance Period, and the denominator of which will equal sixty (60), multiplied by</w:t>
      </w:r>
    </w:p>
    <w:p>
      <w:pPr>
        <w:spacing w:after="0" w:line="197" w:lineRule="exact"/>
        <w:rPr>
          <w:rFonts w:ascii="Arial" w:cs="Arial" w:eastAsia="Arial" w:hAnsi="Arial"/>
          <w:sz w:val="22"/>
          <w:szCs w:val="22"/>
          <w:b w:val="1"/>
          <w:bCs w:val="1"/>
          <w:color w:val="auto"/>
        </w:rPr>
      </w:pPr>
    </w:p>
    <w:p>
      <w:pPr>
        <w:ind w:left="2680" w:hanging="483"/>
        <w:spacing w:after="0"/>
        <w:tabs>
          <w:tab w:leader="none" w:pos="2680" w:val="left"/>
        </w:tabs>
        <w:numPr>
          <w:ilvl w:val="3"/>
          <w:numId w:val="99"/>
        </w:numPr>
        <w:rPr>
          <w:rFonts w:ascii="Arial" w:cs="Arial" w:eastAsia="Arial" w:hAnsi="Arial"/>
          <w:sz w:val="22"/>
          <w:szCs w:val="22"/>
          <w:b w:val="1"/>
          <w:bCs w:val="1"/>
          <w:color w:val="auto"/>
        </w:rPr>
      </w:pPr>
      <w:r>
        <w:rPr>
          <w:rFonts w:ascii="Arial" w:cs="Arial" w:eastAsia="Arial" w:hAnsi="Arial"/>
          <w:sz w:val="22"/>
          <w:szCs w:val="22"/>
          <w:color w:val="auto"/>
        </w:rPr>
        <w:t>the greater of:</w:t>
      </w:r>
    </w:p>
    <w:p>
      <w:pPr>
        <w:spacing w:after="0" w:line="233" w:lineRule="exact"/>
        <w:rPr>
          <w:rFonts w:ascii="Arial" w:cs="Arial" w:eastAsia="Arial" w:hAnsi="Arial"/>
          <w:sz w:val="22"/>
          <w:szCs w:val="22"/>
          <w:b w:val="1"/>
          <w:bCs w:val="1"/>
          <w:color w:val="auto"/>
        </w:rPr>
      </w:pPr>
    </w:p>
    <w:p>
      <w:pPr>
        <w:ind w:left="4240" w:hanging="488"/>
        <w:spacing w:after="0"/>
        <w:tabs>
          <w:tab w:leader="none" w:pos="4240" w:val="left"/>
        </w:tabs>
        <w:numPr>
          <w:ilvl w:val="5"/>
          <w:numId w:val="99"/>
        </w:numPr>
        <w:rPr>
          <w:rFonts w:ascii="Arial" w:cs="Arial" w:eastAsia="Arial" w:hAnsi="Arial"/>
          <w:sz w:val="22"/>
          <w:szCs w:val="22"/>
          <w:b w:val="1"/>
          <w:bCs w:val="1"/>
          <w:color w:val="auto"/>
        </w:rPr>
      </w:pPr>
      <w:r>
        <w:rPr>
          <w:rFonts w:ascii="Arial" w:cs="Arial" w:eastAsia="Arial" w:hAnsi="Arial"/>
          <w:sz w:val="22"/>
          <w:szCs w:val="22"/>
          <w:color w:val="auto"/>
        </w:rPr>
        <w:t>100% of the PSUs in the Tranche; or</w:t>
      </w:r>
    </w:p>
    <w:p>
      <w:pPr>
        <w:spacing w:after="0" w:line="233" w:lineRule="exact"/>
        <w:rPr>
          <w:rFonts w:ascii="Arial" w:cs="Arial" w:eastAsia="Arial" w:hAnsi="Arial"/>
          <w:sz w:val="22"/>
          <w:szCs w:val="22"/>
          <w:b w:val="1"/>
          <w:bCs w:val="1"/>
          <w:color w:val="auto"/>
        </w:rPr>
      </w:pPr>
    </w:p>
    <w:p>
      <w:pPr>
        <w:jc w:val="both"/>
        <w:ind w:firstLine="3752"/>
        <w:spacing w:after="0" w:line="236" w:lineRule="auto"/>
        <w:tabs>
          <w:tab w:leader="none" w:pos="4265" w:val="left"/>
        </w:tabs>
        <w:numPr>
          <w:ilvl w:val="5"/>
          <w:numId w:val="99"/>
        </w:numPr>
        <w:rPr>
          <w:rFonts w:ascii="Arial" w:cs="Arial" w:eastAsia="Arial" w:hAnsi="Arial"/>
          <w:sz w:val="22"/>
          <w:szCs w:val="22"/>
          <w:b w:val="1"/>
          <w:bCs w:val="1"/>
          <w:color w:val="auto"/>
        </w:rPr>
      </w:pPr>
      <w:r>
        <w:rPr>
          <w:rFonts w:ascii="Arial" w:cs="Arial" w:eastAsia="Arial" w:hAnsi="Arial"/>
          <w:sz w:val="22"/>
          <w:szCs w:val="22"/>
          <w:color w:val="auto"/>
        </w:rPr>
        <w:t>the percentage of the PSUs in the applicable Tranche determined in accordance with the schedule in Section 3(a) with respect to the Tranche 1 PSUs or Section 3(b) with respect to the Tranche 2 PSUs, based on the actual level of achievement (up to the maximum level of achievement for each Tranche set forth in Section 3) of the performance goal applicable to the Tranche from the first day of the Performance Period to end of the twelve (12)-month period ended December 31 immediately preceding the date of such death or Disability.</w:t>
      </w:r>
    </w:p>
    <w:p>
      <w:pPr>
        <w:spacing w:after="0" w:line="206" w:lineRule="exact"/>
        <w:rPr>
          <w:rFonts w:ascii="Arial" w:cs="Arial" w:eastAsia="Arial" w:hAnsi="Arial"/>
          <w:sz w:val="22"/>
          <w:szCs w:val="22"/>
          <w:b w:val="1"/>
          <w:bCs w:val="1"/>
          <w:color w:val="auto"/>
        </w:rPr>
      </w:pPr>
    </w:p>
    <w:p>
      <w:pPr>
        <w:jc w:val="both"/>
        <w:ind w:firstLine="1785"/>
        <w:spacing w:after="0" w:line="245" w:lineRule="auto"/>
        <w:tabs>
          <w:tab w:leader="none" w:pos="2189" w:val="left"/>
        </w:tabs>
        <w:numPr>
          <w:ilvl w:val="2"/>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After Awarding. </w:t>
      </w:r>
      <w:r>
        <w:rPr>
          <w:rFonts w:ascii="Arial" w:cs="Arial" w:eastAsia="Arial" w:hAnsi="Arial"/>
          <w:sz w:val="22"/>
          <w:szCs w:val="22"/>
          <w:color w:val="auto"/>
        </w:rPr>
        <w:t>If the Grantee dies or becomes Disabled after awarding, but before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interest in the Awarded PSUs becomes fully vested and nonforfeitable or is forfeited, the Awarded PSUs will become fully vested and nonforfeitable on the date of the Grantee's death or Disability.</w:t>
      </w:r>
    </w:p>
    <w:p>
      <w:pPr>
        <w:spacing w:after="0" w:line="197" w:lineRule="exact"/>
        <w:rPr>
          <w:rFonts w:ascii="Arial" w:cs="Arial" w:eastAsia="Arial" w:hAnsi="Arial"/>
          <w:sz w:val="22"/>
          <w:szCs w:val="22"/>
          <w:b w:val="1"/>
          <w:bCs w:val="1"/>
          <w:color w:val="auto"/>
        </w:rPr>
      </w:pPr>
    </w:p>
    <w:p>
      <w:pPr>
        <w:jc w:val="both"/>
        <w:ind w:firstLine="488"/>
        <w:spacing w:after="0" w:line="236" w:lineRule="auto"/>
        <w:tabs>
          <w:tab w:leader="none" w:pos="9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in Number of PSUs. </w:t>
      </w:r>
      <w:r>
        <w:rPr>
          <w:rFonts w:ascii="Arial" w:cs="Arial" w:eastAsia="Arial" w:hAnsi="Arial"/>
          <w:sz w:val="22"/>
          <w:szCs w:val="22"/>
          <w:color w:val="auto"/>
        </w:rPr>
        <w:t>If the Shares underlying the PSUs are changed into or exchanged for a</w:t>
      </w:r>
      <w:r>
        <w:rPr>
          <w:rFonts w:ascii="Arial" w:cs="Arial" w:eastAsia="Arial" w:hAnsi="Arial"/>
          <w:sz w:val="22"/>
          <w:szCs w:val="22"/>
          <w:b w:val="1"/>
          <w:bCs w:val="1"/>
          <w:color w:val="auto"/>
        </w:rPr>
        <w:t xml:space="preserve"> </w:t>
      </w:r>
      <w:r>
        <w:rPr>
          <w:rFonts w:ascii="Arial" w:cs="Arial" w:eastAsia="Arial" w:hAnsi="Arial"/>
          <w:sz w:val="22"/>
          <w:szCs w:val="22"/>
          <w:color w:val="auto"/>
        </w:rPr>
        <w:t>different number or kind of shares of the Company or other securities of the Company by reason of merger, consolidation, recapitalization, reclassification, stock split, stock dividend or combination of shares, the number and kind of PSUs will be equitably adjusted to reflect such changes in accordance with the Plan. Any such adjustment made by the Company's Board of Directors or the Committee will be final and binding upon the Grantee, the Company, their respective heirs, administrators, personal representatives, successors, assigns, and all other interested persons.</w:t>
      </w:r>
    </w:p>
    <w:p>
      <w:pPr>
        <w:spacing w:after="0" w:line="202" w:lineRule="exact"/>
        <w:rPr>
          <w:rFonts w:ascii="Arial" w:cs="Arial" w:eastAsia="Arial" w:hAnsi="Arial"/>
          <w:sz w:val="22"/>
          <w:szCs w:val="22"/>
          <w:b w:val="1"/>
          <w:bCs w:val="1"/>
          <w:color w:val="auto"/>
        </w:rPr>
      </w:pPr>
    </w:p>
    <w:p>
      <w:pPr>
        <w:ind w:left="960" w:hanging="472"/>
        <w:spacing w:after="0"/>
        <w:tabs>
          <w:tab w:leader="none" w:pos="9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PSUs.</w:t>
      </w:r>
    </w:p>
    <w:p>
      <w:pPr>
        <w:spacing w:after="0" w:line="233"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1"/>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Timing of Settlement. </w:t>
      </w:r>
      <w:r>
        <w:rPr>
          <w:rFonts w:ascii="Arial" w:cs="Arial" w:eastAsia="Arial" w:hAnsi="Arial"/>
          <w:sz w:val="22"/>
          <w:szCs w:val="22"/>
          <w:color w:val="auto"/>
        </w:rPr>
        <w:t>Unless and until the PSUs become vested and nonforfeitable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and conditions of this Agreement, the Grantee will have no right to settlement of the PSUs. On or as soon as administratively practicable (and no later than thirty (30) days) after the applicable date of vesting under Section 4 or Section 5 of this Agreement, the Company will settle the vested Awarded PSUs by delivering to the Grantee (or the Grantee’s beneficiary in the event of death) a number of Shares equal to the number of Awarded PSUs that have become vested and nonforfeitable and are to be settled at the applicable settlement date, subject to the provisions of Section 12 of this Agreement relating to tax withholding. The Grantee will have no influence on any determination as to the tax year in which settlement will be made during a specified period following the date or event that triggers a right to settlement.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0" w:name="page81"/>
    <w:bookmarkEnd w:id="80"/>
    <w:p>
      <w:pPr>
        <w:jc w:val="both"/>
        <w:ind w:firstLine="1063"/>
        <w:spacing w:after="0" w:line="235" w:lineRule="auto"/>
        <w:tabs>
          <w:tab w:leader="none" w:pos="1440" w:val="left"/>
        </w:tabs>
        <w:numPr>
          <w:ilvl w:val="2"/>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Manner of Settlement; No Fractional Shares. </w:t>
      </w:r>
      <w:r>
        <w:rPr>
          <w:rFonts w:ascii="Arial" w:cs="Arial" w:eastAsia="Arial" w:hAnsi="Arial"/>
          <w:sz w:val="22"/>
          <w:szCs w:val="22"/>
          <w:color w:val="auto"/>
        </w:rPr>
        <w:t>Subject to the provisions of Section 12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relating to tax withholding, upon settlement of the PSUs that are to be settled at the applicable settlement date, the delivery to the Grantee of the number of Shares equal to the number of settled PSUs will be, at the Company’s option, evidenced by a Share certificate delivered to the Grantee, or other physical or electronic evidence of Share ownership, including, without limitation, deposit of Shares into a stock brokerage account maintained for the Grantee or credit to a book-entry account for the benefit of the Grantee maintained by the Company’s stock transfer agent or its designee. Notwithstanding any provision of this Agreement to the contrary, any fractional Share that would otherwise result from the application of any provision of this Agreement will be rounded down to the nearest whole number, as determined by the Committee in its discretion.</w:t>
      </w:r>
    </w:p>
    <w:p>
      <w:pPr>
        <w:spacing w:after="0" w:line="200" w:lineRule="exact"/>
        <w:rPr>
          <w:rFonts w:ascii="Arial" w:cs="Arial" w:eastAsia="Arial" w:hAnsi="Arial"/>
          <w:sz w:val="22"/>
          <w:szCs w:val="22"/>
          <w:b w:val="1"/>
          <w:bCs w:val="1"/>
          <w:color w:val="auto"/>
        </w:rPr>
      </w:pPr>
    </w:p>
    <w:p>
      <w:pPr>
        <w:jc w:val="both"/>
        <w:ind w:firstLine="1009"/>
        <w:spacing w:after="0" w:line="235" w:lineRule="auto"/>
        <w:tabs>
          <w:tab w:leader="none" w:pos="1440"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Settlement. </w:t>
      </w:r>
      <w:r>
        <w:rPr>
          <w:rFonts w:ascii="Arial" w:cs="Arial" w:eastAsia="Arial" w:hAnsi="Arial"/>
          <w:sz w:val="22"/>
          <w:szCs w:val="22"/>
          <w:color w:val="auto"/>
        </w:rPr>
        <w:t>Neither the Grantee nor any beneficiary of the Grantee will have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interest in any PSUs that have been settled. The Company retains discretion to determine the settlement date in accordance with Section 7(a) of this Agreement and the terms of the Plan, and no Grantee or beneficiary of a Grantee will have any claim for damages or loss by virtue of the fact that the market price of the Shares was higher on a given date upon which settlement could have been made as compared to the market price on or after the actual settlement date. The Company will not be liable for any foreign exchange rate fluctuation between the Grantee's local currency and the U.S. Dollar that may affect the value of the PSUs or of any amounts due to the Grantee pursuant to the PSUs or the subsequent sale of any Shares acquired under the Plan.</w:t>
      </w:r>
    </w:p>
    <w:p>
      <w:pPr>
        <w:spacing w:after="0" w:line="205" w:lineRule="exact"/>
        <w:rPr>
          <w:rFonts w:ascii="Arial" w:cs="Arial" w:eastAsia="Arial" w:hAnsi="Arial"/>
          <w:sz w:val="22"/>
          <w:szCs w:val="22"/>
          <w:b w:val="1"/>
          <w:bCs w:val="1"/>
          <w:color w:val="auto"/>
        </w:rPr>
      </w:pPr>
    </w:p>
    <w:p>
      <w:pPr>
        <w:jc w:val="both"/>
        <w:ind w:firstLine="488"/>
        <w:spacing w:after="0" w:line="247" w:lineRule="auto"/>
        <w:tabs>
          <w:tab w:leader="none" w:pos="96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Delivery of Vested PSUs; No Fractional Shares. </w:t>
      </w:r>
      <w:r>
        <w:rPr>
          <w:rFonts w:ascii="Arial" w:cs="Arial" w:eastAsia="Arial" w:hAnsi="Arial"/>
          <w:sz w:val="21"/>
          <w:szCs w:val="21"/>
          <w:color w:val="auto"/>
        </w:rPr>
        <w:t>Subject to the provisions of Section 12 relating to tax</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 the delivery to the Grantee of the PSUs that become fully vested and nonforfeitable under Section 4 or Section 5 of this Agreement will be, at the Company’s option, evidenced by a Share certificate delivered to the Grantee, or other physical or electronic evidence of Share ownership, including, without limitation, deposit of Shares into a stock brokerage account maintained for the Grantee or credit to a book-entry account for the benefit of the Grantee maintained by the Company’s stock transfer agent or its designee. Notwithstanding any provision of this Agreement to the contrary, any fractional Share that would otherwise result from the application of any provision of this Agreement will be rounded down to the nearest whole number, as determined by the Committee in its discretion.</w:t>
      </w:r>
    </w:p>
    <w:p>
      <w:pPr>
        <w:spacing w:after="0" w:line="198" w:lineRule="exact"/>
        <w:rPr>
          <w:rFonts w:ascii="Arial" w:cs="Arial" w:eastAsia="Arial" w:hAnsi="Arial"/>
          <w:sz w:val="21"/>
          <w:szCs w:val="21"/>
          <w:b w:val="1"/>
          <w:bCs w:val="1"/>
          <w:color w:val="auto"/>
        </w:rPr>
      </w:pPr>
    </w:p>
    <w:p>
      <w:pPr>
        <w:jc w:val="both"/>
        <w:ind w:firstLine="488"/>
        <w:spacing w:after="0" w:line="236" w:lineRule="auto"/>
        <w:tabs>
          <w:tab w:leader="none" w:pos="9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The Plan provides that this Agreement may include provisions for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(defined below). For purposes of the Plan and this Agreement, a “Dividend Equivalent” is a right to receive a payment equal to the amount of cash dividends and value of other distributions that would have been payable on a Share subject to a PSU during a period of time had such Share been issued to the Grantee during such period of time. Except as otherwise provided in the Appendix, if a cash dividend is declared on Shares during the period beginning on the General Awarded Date or Change in Control Awarded Date, whichever is applicable, and ending on the date that Shares are issued in settlement of PSUs, the Grantee will accrue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1" w:name="page82"/>
    <w:bookmarkEnd w:id="81"/>
    <w:p>
      <w:pPr>
        <w:jc w:val="both"/>
        <w:spacing w:after="0" w:line="246" w:lineRule="auto"/>
        <w:rPr>
          <w:sz w:val="20"/>
          <w:szCs w:val="20"/>
          <w:color w:val="auto"/>
        </w:rPr>
      </w:pPr>
      <w:r>
        <w:rPr>
          <w:rFonts w:ascii="Arial" w:cs="Arial" w:eastAsia="Arial" w:hAnsi="Arial"/>
          <w:sz w:val="21"/>
          <w:szCs w:val="21"/>
          <w:color w:val="auto"/>
        </w:rPr>
        <w:t>Dividend Equivalents on the PSUs equal to the cash dividend or distribution that would have been paid on the PSUs had the PSUs been issued and outstanding Shares on the record date for the dividend or distribution. Dividend Equivalents will not be paid with respect to PSUs that have been forfeited. Accrued Dividend Equivalents will be denominated and payable solely in cash, and will be paid by the Company directly to the Grantee no later than thirty</w:t>
      </w:r>
    </w:p>
    <w:p>
      <w:pPr>
        <w:spacing w:after="0" w:line="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days following the applicable dividend payment date.</w:t>
      </w:r>
    </w:p>
    <w:p>
      <w:pPr>
        <w:spacing w:after="0" w:line="211" w:lineRule="exact"/>
        <w:rPr>
          <w:rFonts w:ascii="Arial" w:cs="Arial" w:eastAsia="Arial" w:hAnsi="Arial"/>
          <w:sz w:val="22"/>
          <w:szCs w:val="22"/>
          <w:color w:val="auto"/>
        </w:rPr>
      </w:pPr>
    </w:p>
    <w:p>
      <w:pPr>
        <w:jc w:val="both"/>
        <w:ind w:firstLine="488"/>
        <w:spacing w:after="0" w:line="237" w:lineRule="auto"/>
        <w:tabs>
          <w:tab w:leader="none" w:pos="960" w:val="left"/>
        </w:tabs>
        <w:numPr>
          <w:ilvl w:val="1"/>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w:t>
      </w:r>
      <w:r>
        <w:rPr>
          <w:rFonts w:ascii="Arial" w:cs="Arial" w:eastAsia="Arial" w:hAnsi="Arial"/>
          <w:sz w:val="22"/>
          <w:szCs w:val="22"/>
          <w:color w:val="auto"/>
        </w:rPr>
        <w:t>The Committee will have the power to interpret this Agreement and to adopt such rules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administration, interpretation, and application of the Agreement as are consistent with the Plan, and to interpret or revoke any such rules. All actions taken and all interpretations and determinations made by the Committee in good faith will be final and binding upon the Grantee, the Company, and all other interested persons. No member of the Committee will be personally liable for any action, determination or interpretation made in good faith with respect to the Plan or this Agreement or any similar agreement to which the Company is a party.</w:t>
      </w:r>
    </w:p>
    <w:p>
      <w:pPr>
        <w:spacing w:after="0" w:line="202" w:lineRule="exact"/>
        <w:rPr>
          <w:rFonts w:ascii="Arial" w:cs="Arial" w:eastAsia="Arial" w:hAnsi="Arial"/>
          <w:sz w:val="22"/>
          <w:szCs w:val="22"/>
          <w:b w:val="1"/>
          <w:bCs w:val="1"/>
          <w:color w:val="auto"/>
        </w:rPr>
      </w:pPr>
    </w:p>
    <w:p>
      <w:pPr>
        <w:ind w:left="960" w:hanging="472"/>
        <w:spacing w:after="0"/>
        <w:tabs>
          <w:tab w:leader="none" w:pos="960" w:val="left"/>
        </w:tabs>
        <w:numPr>
          <w:ilvl w:val="1"/>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w:t>
      </w:r>
    </w:p>
    <w:p>
      <w:pPr>
        <w:spacing w:after="0" w:line="233" w:lineRule="exact"/>
        <w:rPr>
          <w:rFonts w:ascii="Arial" w:cs="Arial" w:eastAsia="Arial" w:hAnsi="Arial"/>
          <w:sz w:val="22"/>
          <w:szCs w:val="22"/>
          <w:b w:val="1"/>
          <w:bCs w:val="1"/>
          <w:color w:val="auto"/>
        </w:rPr>
      </w:pPr>
    </w:p>
    <w:p>
      <w:pPr>
        <w:jc w:val="both"/>
        <w:ind w:firstLine="1505"/>
        <w:spacing w:after="0" w:line="237" w:lineRule="auto"/>
        <w:tabs>
          <w:tab w:leader="none" w:pos="1978" w:val="left"/>
        </w:tabs>
        <w:numPr>
          <w:ilvl w:val="3"/>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 General. </w:t>
      </w:r>
      <w:r>
        <w:rPr>
          <w:rFonts w:ascii="Arial" w:cs="Arial" w:eastAsia="Arial" w:hAnsi="Arial"/>
          <w:sz w:val="22"/>
          <w:szCs w:val="22"/>
          <w:color w:val="auto"/>
        </w:rPr>
        <w:t>Neither the PSUs nor any interest or right therein or part thereof will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11 will not prevent transfers by will or by the applicable laws of descent and distribution or by a beneficiary designation in accordance with this Section 11.</w:t>
      </w:r>
    </w:p>
    <w:p>
      <w:pPr>
        <w:spacing w:after="0" w:line="202" w:lineRule="exact"/>
        <w:rPr>
          <w:rFonts w:ascii="Arial" w:cs="Arial" w:eastAsia="Arial" w:hAnsi="Arial"/>
          <w:sz w:val="22"/>
          <w:szCs w:val="22"/>
          <w:b w:val="1"/>
          <w:bCs w:val="1"/>
          <w:color w:val="auto"/>
        </w:rPr>
      </w:pPr>
    </w:p>
    <w:p>
      <w:pPr>
        <w:jc w:val="both"/>
        <w:ind w:firstLine="968"/>
        <w:spacing w:after="0" w:line="235" w:lineRule="auto"/>
        <w:tabs>
          <w:tab w:leader="none" w:pos="1440" w:val="left"/>
        </w:tabs>
        <w:numPr>
          <w:ilvl w:val="2"/>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Designations. </w:t>
      </w:r>
      <w:r>
        <w:rPr>
          <w:rFonts w:ascii="Arial" w:cs="Arial" w:eastAsia="Arial" w:hAnsi="Arial"/>
          <w:sz w:val="22"/>
          <w:szCs w:val="22"/>
          <w:color w:val="auto"/>
        </w:rPr>
        <w:t>The Grantee may designate a beneficiary or beneficiaries to exercise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receive any benefits with respect to the PSUs following the Grantee’s death. To be effective, such designation must be made in accordance with such procedures and in such written or electronic form as prescribed by the Company (or its designee) for such purpose. If the Grantee fails to designate a beneficiary, or if no designated beneficiary survives the Grantee’s death, the Grantee’s estate will be deemed the Grantee’s beneficiary. A beneficiary designation may be changed or revoked by the Grantee’s sole action, provided that the change or revocation is made in accordance with such procedures and in such written or electronic form as prescribed by the Company (or its designee) for such purpose. Unless otherwise provided in the beneficiary designation, each designation made by the Grantee will revoke all prior designations made by the Grantee.</w:t>
      </w:r>
    </w:p>
    <w:p>
      <w:pPr>
        <w:spacing w:after="0" w:line="200" w:lineRule="exact"/>
        <w:rPr>
          <w:rFonts w:ascii="Arial" w:cs="Arial" w:eastAsia="Arial" w:hAnsi="Arial"/>
          <w:sz w:val="22"/>
          <w:szCs w:val="22"/>
          <w:b w:val="1"/>
          <w:bCs w:val="1"/>
          <w:color w:val="auto"/>
        </w:rPr>
      </w:pPr>
    </w:p>
    <w:p>
      <w:pPr>
        <w:jc w:val="both"/>
        <w:ind w:firstLine="488"/>
        <w:spacing w:after="0" w:line="238" w:lineRule="auto"/>
        <w:tabs>
          <w:tab w:leader="none" w:pos="960" w:val="left"/>
        </w:tabs>
        <w:numPr>
          <w:ilvl w:val="1"/>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Grantee will pay all applicable income, employment, social insurance, payroll,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taxes that the Company or any affiliate is required to withhold at any time with respect to the PSUs in any jurisdiction. Such payment will be made in full by the deduction from the number of Shares otherwise deliverable by Company upon vesting and nonforfeitability of any portion of the PSUs, the smallest number of whole Shares which, when multiplied by the fair market value of a Share 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2" w:name="page83"/>
    <w:bookmarkEnd w:id="82"/>
    <w:p>
      <w:pPr>
        <w:jc w:val="both"/>
        <w:spacing w:after="0" w:line="247" w:lineRule="auto"/>
        <w:rPr>
          <w:sz w:val="20"/>
          <w:szCs w:val="20"/>
          <w:color w:val="auto"/>
        </w:rPr>
      </w:pPr>
      <w:r>
        <w:rPr>
          <w:rFonts w:ascii="Arial" w:cs="Arial" w:eastAsia="Arial" w:hAnsi="Arial"/>
          <w:sz w:val="21"/>
          <w:szCs w:val="21"/>
          <w:color w:val="auto"/>
        </w:rPr>
        <w:t>the vesting date, is sufficient to satisfy the amount of such tax withholding requirement. However, if the Company determines in its discretion that withholding in Shares is not possible or sufficient to satisfy the amount of the tax withholding obligation, the Company may satisfy the withholding obligation by withholding from the Grantee’s wages or other cash compensation paid to the Grantee by the Company, or by requiring the Grantee to pay to the Company an amount necessary to satisfy the withholding obligation. The Company may withhold or account for taxes by considering statutory or other withholding rates, including minimum or maximum rates, applicable in the Grantee's jurisdiction(s). The Grantee's entry into this Agreement will confirm Grantee’s instruction and authorization to the Company to satisfy withholding obligations with respect to the PSUs in accordance with this Section 12.</w:t>
      </w:r>
    </w:p>
    <w:p>
      <w:pPr>
        <w:spacing w:after="0" w:line="197" w:lineRule="exact"/>
        <w:rPr>
          <w:sz w:val="20"/>
          <w:szCs w:val="20"/>
          <w:color w:val="auto"/>
        </w:rPr>
      </w:pPr>
    </w:p>
    <w:p>
      <w:pPr>
        <w:ind w:left="1240" w:hanging="483"/>
        <w:spacing w:after="0"/>
        <w:tabs>
          <w:tab w:leader="none" w:pos="124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Data Privacy.</w:t>
      </w:r>
    </w:p>
    <w:p>
      <w:pPr>
        <w:spacing w:after="0" w:line="233" w:lineRule="exact"/>
        <w:rPr>
          <w:rFonts w:ascii="Arial" w:cs="Arial" w:eastAsia="Arial" w:hAnsi="Arial"/>
          <w:sz w:val="22"/>
          <w:szCs w:val="22"/>
          <w:b w:val="1"/>
          <w:bCs w:val="1"/>
          <w:color w:val="auto"/>
        </w:rPr>
      </w:pPr>
    </w:p>
    <w:p>
      <w:pPr>
        <w:jc w:val="both"/>
        <w:ind w:firstLine="1505"/>
        <w:spacing w:after="0" w:line="252" w:lineRule="auto"/>
        <w:tabs>
          <w:tab w:leader="none" w:pos="1978" w:val="left"/>
        </w:tabs>
        <w:numPr>
          <w:ilvl w:val="1"/>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Collection and Use of Data. </w:t>
      </w:r>
      <w:r>
        <w:rPr>
          <w:rFonts w:ascii="Arial" w:cs="Arial" w:eastAsia="Arial" w:hAnsi="Arial"/>
          <w:sz w:val="21"/>
          <w:szCs w:val="21"/>
          <w:color w:val="auto"/>
        </w:rPr>
        <w:t>The Company may collect, process, and transfer certain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data about the Grantee, including the Grantee's name, identification numbers, contact information, tax residency, compensation, and equity award history (the "Data"), for the purpose of administering the Plan. The Company processes Data (i) as necessary for the performance of its obligations under this Agreement and the Plan, (ii) for its legitimate interests in administering the Plan, and (iii) where applicable, based on the Grantee's consent.</w:t>
      </w:r>
    </w:p>
    <w:p>
      <w:pPr>
        <w:spacing w:after="0" w:line="190" w:lineRule="exact"/>
        <w:rPr>
          <w:rFonts w:ascii="Arial" w:cs="Arial" w:eastAsia="Arial" w:hAnsi="Arial"/>
          <w:sz w:val="21"/>
          <w:szCs w:val="21"/>
          <w:b w:val="1"/>
          <w:bCs w:val="1"/>
          <w:color w:val="auto"/>
        </w:rPr>
      </w:pPr>
    </w:p>
    <w:p>
      <w:pPr>
        <w:jc w:val="both"/>
        <w:ind w:firstLine="1505"/>
        <w:spacing w:after="0" w:line="247" w:lineRule="auto"/>
        <w:tabs>
          <w:tab w:leader="none" w:pos="1978" w:val="left"/>
        </w:tabs>
        <w:numPr>
          <w:ilvl w:val="1"/>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Disclosure and Transfer. </w:t>
      </w:r>
      <w:r>
        <w:rPr>
          <w:rFonts w:ascii="Arial" w:cs="Arial" w:eastAsia="Arial" w:hAnsi="Arial"/>
          <w:sz w:val="21"/>
          <w:szCs w:val="21"/>
          <w:color w:val="auto"/>
        </w:rPr>
        <w:t>The Company may share Data with certain third parties assisting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implementation, administration and management of the Plan, including: (i) securities or financial intermediaries or service providers selected by the Grantee or the Company for purposes of administering the Plan, depositing any Shares acquired pursuant to the Plan into an account, executing transactions and performing other services related to such account; (ii) the Company's accountants, auditors and legal counsel; and (iii) any future potential purchaser of the Company (or of any of its undertakings) for the purpose of administering the Plan (including the PSUs) and/or confirming the Grantee's entitlement to the PSUs where such entitlement is relevant to such potential purchase. Data will be transferred to the U.S. and may be transferred to other countries as necessary.</w:t>
      </w:r>
    </w:p>
    <w:p>
      <w:pPr>
        <w:spacing w:after="0" w:line="198" w:lineRule="exact"/>
        <w:rPr>
          <w:rFonts w:ascii="Arial" w:cs="Arial" w:eastAsia="Arial" w:hAnsi="Arial"/>
          <w:sz w:val="21"/>
          <w:szCs w:val="21"/>
          <w:b w:val="1"/>
          <w:bCs w:val="1"/>
          <w:color w:val="auto"/>
        </w:rPr>
      </w:pPr>
    </w:p>
    <w:p>
      <w:pPr>
        <w:jc w:val="both"/>
        <w:ind w:firstLine="1505"/>
        <w:spacing w:after="0"/>
        <w:tabs>
          <w:tab w:leader="none" w:pos="1978" w:val="left"/>
        </w:tabs>
        <w:numPr>
          <w:ilvl w:val="1"/>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Subject Rights. </w:t>
      </w:r>
      <w:r>
        <w:rPr>
          <w:rFonts w:ascii="Arial" w:cs="Arial" w:eastAsia="Arial" w:hAnsi="Arial"/>
          <w:sz w:val="22"/>
          <w:szCs w:val="22"/>
          <w:color w:val="auto"/>
        </w:rPr>
        <w:t>The Grantee may access, correct, or request deletion of Data, and may</w:t>
      </w:r>
      <w:r>
        <w:rPr>
          <w:rFonts w:ascii="Arial" w:cs="Arial" w:eastAsia="Arial" w:hAnsi="Arial"/>
          <w:sz w:val="22"/>
          <w:szCs w:val="22"/>
          <w:b w:val="1"/>
          <w:bCs w:val="1"/>
          <w:color w:val="auto"/>
        </w:rPr>
        <w:t xml:space="preserve"> </w:t>
      </w:r>
      <w:r>
        <w:rPr>
          <w:rFonts w:ascii="Arial" w:cs="Arial" w:eastAsia="Arial" w:hAnsi="Arial"/>
          <w:sz w:val="22"/>
          <w:szCs w:val="22"/>
          <w:color w:val="auto"/>
        </w:rPr>
        <w:t>withdraw consent, by contacting stockcompensation@bbins.com in writing. If the Grantee withdraws consent, the Company will continue to process Data to the extent permitted under other legal bases, but the Company's ability to administer the PSUs may be limited; however, the Grantee's employment will not be adversely affected.</w:t>
      </w:r>
    </w:p>
    <w:p>
      <w:pPr>
        <w:spacing w:after="0" w:line="203" w:lineRule="exact"/>
        <w:rPr>
          <w:rFonts w:ascii="Arial" w:cs="Arial" w:eastAsia="Arial" w:hAnsi="Arial"/>
          <w:sz w:val="22"/>
          <w:szCs w:val="22"/>
          <w:b w:val="1"/>
          <w:bCs w:val="1"/>
          <w:color w:val="auto"/>
        </w:rPr>
      </w:pPr>
    </w:p>
    <w:p>
      <w:pPr>
        <w:jc w:val="both"/>
        <w:ind w:firstLine="757"/>
        <w:spacing w:after="0"/>
        <w:tabs>
          <w:tab w:leader="none" w:pos="1229"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Purpose and Nature of PSUs. </w:t>
      </w:r>
      <w:r>
        <w:rPr>
          <w:rFonts w:ascii="Arial" w:cs="Arial" w:eastAsia="Arial" w:hAnsi="Arial"/>
          <w:sz w:val="22"/>
          <w:szCs w:val="22"/>
          <w:color w:val="auto"/>
        </w:rPr>
        <w:t>The PSUs are intended to provide an incentive for the Grantee to put</w:t>
      </w:r>
      <w:r>
        <w:rPr>
          <w:rFonts w:ascii="Arial" w:cs="Arial" w:eastAsia="Arial" w:hAnsi="Arial"/>
          <w:sz w:val="22"/>
          <w:szCs w:val="22"/>
          <w:b w:val="1"/>
          <w:bCs w:val="1"/>
          <w:color w:val="auto"/>
        </w:rPr>
        <w:t xml:space="preserve"> </w:t>
      </w:r>
      <w:r>
        <w:rPr>
          <w:rFonts w:ascii="Arial" w:cs="Arial" w:eastAsia="Arial" w:hAnsi="Arial"/>
          <w:sz w:val="22"/>
          <w:szCs w:val="22"/>
          <w:color w:val="auto"/>
        </w:rPr>
        <w:t>forth maximum effort for the continued success and growth of the Company and to recognize and reward the Grantee’s outstanding individual performance, taking into consideration such factors as the contributions of the Grantee to the profitability and success of the Company and the adequacy of the Grantee’s other</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3" w:name="page84"/>
    <w:bookmarkEnd w:id="83"/>
    <w:p>
      <w:pPr>
        <w:jc w:val="both"/>
        <w:spacing w:after="0" w:line="234" w:lineRule="auto"/>
        <w:rPr>
          <w:sz w:val="20"/>
          <w:szCs w:val="20"/>
          <w:color w:val="auto"/>
        </w:rPr>
      </w:pPr>
      <w:r>
        <w:rPr>
          <w:rFonts w:ascii="Arial" w:cs="Arial" w:eastAsia="Arial" w:hAnsi="Arial"/>
          <w:sz w:val="22"/>
          <w:szCs w:val="22"/>
          <w:color w:val="auto"/>
        </w:rPr>
        <w:t>compensation. This Agreement is not established to defer the payment of compensation to the termination of the Grantee’s employment or beyond, or to provide retirement income to the Grantee, but is established as a “bonus program” as defined under U.S. Department of Labor Regulation Section 2510.3-2(c) and will be construed and administered in accordance with such intention. Because the PSUs are not intended to provide retirement income or result in the systematic deferral of income to termination of employment, this Agreement is not intended to be an “employee pension benefit plan” within the meaning of Section 3(2) of the Employee Retirement Income Security Act of 1974, as amended (“ERISA”). However, to the extent that this Agreement is determined to be an “employee pension benefit plan” for purposes of ERISA, this Agreement will be treated as a plan maintained “primarily for the purpose of providing deferred compensation to a select group of management or highly compensated employees” as described in Section 201(2) of ERISA.</w:t>
      </w:r>
    </w:p>
    <w:p>
      <w:pPr>
        <w:spacing w:after="0" w:line="205" w:lineRule="exact"/>
        <w:rPr>
          <w:sz w:val="20"/>
          <w:szCs w:val="20"/>
          <w:color w:val="auto"/>
        </w:rPr>
      </w:pPr>
    </w:p>
    <w:p>
      <w:pPr>
        <w:ind w:left="1240" w:hanging="483"/>
        <w:spacing w:after="0"/>
        <w:tabs>
          <w:tab w:leader="none" w:pos="124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No Contract of Employment; Nature of Grant.</w:t>
      </w:r>
    </w:p>
    <w:p>
      <w:pPr>
        <w:spacing w:after="0" w:line="235" w:lineRule="exact"/>
        <w:rPr>
          <w:rFonts w:ascii="Arial" w:cs="Arial" w:eastAsia="Arial" w:hAnsi="Arial"/>
          <w:sz w:val="22"/>
          <w:szCs w:val="22"/>
          <w:b w:val="1"/>
          <w:bCs w:val="1"/>
          <w:color w:val="auto"/>
        </w:rPr>
      </w:pPr>
    </w:p>
    <w:p>
      <w:pPr>
        <w:jc w:val="both"/>
        <w:ind w:firstLine="1505"/>
        <w:spacing w:after="0"/>
        <w:tabs>
          <w:tab w:leader="none" w:pos="2018"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to the extent permitted by the Plan. The grant of the PSUs is voluntary and occasional and does not create any contractual or other right to receive future grants or benefits in lieu thereof.</w:t>
      </w:r>
    </w:p>
    <w:p>
      <w:pPr>
        <w:spacing w:after="0" w:line="203" w:lineRule="exact"/>
        <w:rPr>
          <w:rFonts w:ascii="Arial" w:cs="Arial" w:eastAsia="Arial" w:hAnsi="Arial"/>
          <w:sz w:val="22"/>
          <w:szCs w:val="22"/>
          <w:b w:val="1"/>
          <w:bCs w:val="1"/>
          <w:color w:val="auto"/>
        </w:rPr>
      </w:pPr>
    </w:p>
    <w:p>
      <w:pPr>
        <w:jc w:val="both"/>
        <w:ind w:firstLine="1505"/>
        <w:spacing w:after="0" w:line="238" w:lineRule="auto"/>
        <w:tabs>
          <w:tab w:leader="none" w:pos="1991"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The Grantee's participation in the Plan is voluntary. The PSUs and any underlying Shares, and the income and value of same, are not part of normal or expected compensation or salary for any purposes, including, without limitation, calculation of severance, termination, redundancy, end-of-service payments, bonuses, long-service awards, pension, retirement or welfare benefits. The PSUs are not pensionable and are not intended to replace any pension rights or compensation.</w:t>
      </w:r>
    </w:p>
    <w:p>
      <w:pPr>
        <w:spacing w:after="0" w:line="203" w:lineRule="exact"/>
        <w:rPr>
          <w:rFonts w:ascii="Arial" w:cs="Arial" w:eastAsia="Arial" w:hAnsi="Arial"/>
          <w:sz w:val="22"/>
          <w:szCs w:val="22"/>
          <w:b w:val="1"/>
          <w:bCs w:val="1"/>
          <w:color w:val="auto"/>
        </w:rPr>
      </w:pPr>
    </w:p>
    <w:p>
      <w:pPr>
        <w:jc w:val="both"/>
        <w:ind w:firstLine="1505"/>
        <w:spacing w:after="0" w:line="245" w:lineRule="auto"/>
        <w:tabs>
          <w:tab w:leader="none" w:pos="2032"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The grant of PSUs and the Grantee's participation in the Plan will not create a right to employment or be interpreted as forming an employment or service contract with the Company, and will not interfere with the Company's ability to terminate the Grantee's employment at any time.</w:t>
      </w:r>
    </w:p>
    <w:p>
      <w:pPr>
        <w:spacing w:after="0" w:line="197" w:lineRule="exact"/>
        <w:rPr>
          <w:rFonts w:ascii="Arial" w:cs="Arial" w:eastAsia="Arial" w:hAnsi="Arial"/>
          <w:sz w:val="22"/>
          <w:szCs w:val="22"/>
          <w:b w:val="1"/>
          <w:bCs w:val="1"/>
          <w:color w:val="auto"/>
        </w:rPr>
      </w:pPr>
    </w:p>
    <w:p>
      <w:pPr>
        <w:jc w:val="both"/>
        <w:ind w:firstLine="1505"/>
        <w:spacing w:after="0" w:line="245" w:lineRule="auto"/>
        <w:tabs>
          <w:tab w:leader="none" w:pos="2018"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The Grantee will have no right to compensation or damages for any loss or potential loss suffered by reason of being unable to acquire or retain Shares pursuant to the PSUs in consequence of the termination of employment for any reason, including loss of any right, benefit, or prospective benefit under the Plan.</w:t>
      </w:r>
    </w:p>
    <w:p>
      <w:pPr>
        <w:spacing w:after="0" w:line="197" w:lineRule="exact"/>
        <w:rPr>
          <w:rFonts w:ascii="Arial" w:cs="Arial" w:eastAsia="Arial" w:hAnsi="Arial"/>
          <w:sz w:val="22"/>
          <w:szCs w:val="22"/>
          <w:b w:val="1"/>
          <w:bCs w:val="1"/>
          <w:color w:val="auto"/>
        </w:rPr>
      </w:pPr>
    </w:p>
    <w:p>
      <w:pPr>
        <w:jc w:val="both"/>
        <w:ind w:firstLine="1505"/>
        <w:spacing w:after="0" w:line="245" w:lineRule="auto"/>
        <w:tabs>
          <w:tab w:leader="none" w:pos="1991"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For purposes of this Agreement, the Grantee's employment will be considered terminated as of the date the Grantee is no longer actively providing services to the Company, and will not include "garden leave" or any period in which the Grantee is not regularly reporting to work due to impending termination.</w:t>
      </w:r>
    </w:p>
    <w:p>
      <w:pPr>
        <w:spacing w:after="0" w:line="195" w:lineRule="exact"/>
        <w:rPr>
          <w:rFonts w:ascii="Arial" w:cs="Arial" w:eastAsia="Arial" w:hAnsi="Arial"/>
          <w:sz w:val="22"/>
          <w:szCs w:val="22"/>
          <w:b w:val="1"/>
          <w:bCs w:val="1"/>
          <w:color w:val="auto"/>
        </w:rPr>
      </w:pPr>
    </w:p>
    <w:p>
      <w:pPr>
        <w:ind w:firstLine="757"/>
        <w:spacing w:after="0" w:line="261" w:lineRule="auto"/>
        <w:tabs>
          <w:tab w:leader="none" w:pos="1229"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 to be given under the terms of this Agreement to the Company will be addressed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in care of its Secretary and any notice to be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4" w:name="page85"/>
    <w:bookmarkEnd w:id="84"/>
    <w:p>
      <w:pPr>
        <w:jc w:val="both"/>
        <w:spacing w:after="0" w:line="235" w:lineRule="auto"/>
        <w:rPr>
          <w:sz w:val="20"/>
          <w:szCs w:val="20"/>
          <w:color w:val="auto"/>
        </w:rPr>
      </w:pPr>
      <w:r>
        <w:rPr>
          <w:rFonts w:ascii="Arial" w:cs="Arial" w:eastAsia="Arial" w:hAnsi="Arial"/>
          <w:sz w:val="22"/>
          <w:szCs w:val="22"/>
          <w:color w:val="auto"/>
        </w:rPr>
        <w:t>given to the Grantee will be addressed to the address on file for the Grantee with the Company’s Payroll Department. By a notice given pursuant to this Section 16, either party may hereafter designate a different address for notices to be given to such party. Any notice required to be given to the Grantee will, if the Grantee is then deceased, be given to the Grantee's personal representative if such representative has previously informed the Company of such representative’s status and address by written notice under this Section 16. Any notice will have been deemed duly given when enclosed in a properly sealed envelope addressed as aforesaid, deposited (with postage prepaid) in a postal receptacle regularly maintained by the U.S. Postal Service or postal service of the jurisdiction in which the notice is mailed.</w:t>
      </w:r>
    </w:p>
    <w:p>
      <w:pPr>
        <w:spacing w:after="0" w:line="203" w:lineRule="exact"/>
        <w:rPr>
          <w:sz w:val="20"/>
          <w:szCs w:val="20"/>
          <w:color w:val="auto"/>
        </w:rPr>
      </w:pPr>
    </w:p>
    <w:p>
      <w:pPr>
        <w:jc w:val="both"/>
        <w:ind w:firstLine="757"/>
        <w:spacing w:after="0"/>
        <w:tabs>
          <w:tab w:leader="none" w:pos="1229"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Titles; English Language. </w:t>
      </w:r>
      <w:r>
        <w:rPr>
          <w:rFonts w:ascii="Arial" w:cs="Arial" w:eastAsia="Arial" w:hAnsi="Arial"/>
          <w:sz w:val="22"/>
          <w:szCs w:val="22"/>
          <w:color w:val="auto"/>
        </w:rPr>
        <w:t>Titles are provided herein for convenience only and are not to serve as a</w:t>
      </w:r>
      <w:r>
        <w:rPr>
          <w:rFonts w:ascii="Arial" w:cs="Arial" w:eastAsia="Arial" w:hAnsi="Arial"/>
          <w:sz w:val="22"/>
          <w:szCs w:val="22"/>
          <w:b w:val="1"/>
          <w:bCs w:val="1"/>
          <w:color w:val="auto"/>
        </w:rPr>
        <w:t xml:space="preserve"> </w:t>
      </w:r>
      <w:r>
        <w:rPr>
          <w:rFonts w:ascii="Arial" w:cs="Arial" w:eastAsia="Arial" w:hAnsi="Arial"/>
          <w:sz w:val="22"/>
          <w:szCs w:val="22"/>
          <w:color w:val="auto"/>
        </w:rPr>
        <w:t>basis for interpretation or construction of this Agreement. If the Grantee has received this Agreement, the Plan, or any other rules, procedures, forms or documents related to the PSUs translated into a language other than English, and if the meaning of the translated version is different than the English version, the English version will control.</w:t>
      </w:r>
    </w:p>
    <w:p>
      <w:pPr>
        <w:spacing w:after="0" w:line="203" w:lineRule="exact"/>
        <w:rPr>
          <w:rFonts w:ascii="Arial" w:cs="Arial" w:eastAsia="Arial" w:hAnsi="Arial"/>
          <w:sz w:val="22"/>
          <w:szCs w:val="22"/>
          <w:b w:val="1"/>
          <w:bCs w:val="1"/>
          <w:color w:val="auto"/>
        </w:rPr>
      </w:pPr>
    </w:p>
    <w:p>
      <w:pPr>
        <w:jc w:val="both"/>
        <w:ind w:firstLine="757"/>
        <w:spacing w:after="0" w:line="235" w:lineRule="auto"/>
        <w:tabs>
          <w:tab w:leader="none" w:pos="1229"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Disposition. </w:t>
      </w:r>
      <w:r>
        <w:rPr>
          <w:rFonts w:ascii="Arial" w:cs="Arial" w:eastAsia="Arial" w:hAnsi="Arial"/>
          <w:sz w:val="22"/>
          <w:szCs w:val="22"/>
          <w:color w:val="auto"/>
        </w:rPr>
        <w:t>Upon receipt of any of the Shares as a result of the satisfaction of all conditions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 of the PSUs, the Grantee will, if requested by the Company in order to assure compliance with applicable law, hold such Shares for investment and not with the view toward resale or distribution to the public and, if so requested by the Company, will deliver to the Company a written statement signed by the Grantee and satisfactory to the Company to that effect. In such instance, the Grantee will give prompt notice to the Company of any disposition or other transfer of any Shares acquired under this Agreement. Such notice will specify the date of such disposition or other transfer and the amount realized, in cash, other property, assumption of indebtedness or other consideration, by the Grantee in such disposition or other transfer.</w:t>
      </w:r>
    </w:p>
    <w:p>
      <w:pPr>
        <w:spacing w:after="0" w:line="205" w:lineRule="exact"/>
        <w:rPr>
          <w:rFonts w:ascii="Arial" w:cs="Arial" w:eastAsia="Arial" w:hAnsi="Arial"/>
          <w:sz w:val="22"/>
          <w:szCs w:val="22"/>
          <w:b w:val="1"/>
          <w:bCs w:val="1"/>
          <w:color w:val="auto"/>
        </w:rPr>
      </w:pPr>
    </w:p>
    <w:p>
      <w:pPr>
        <w:jc w:val="both"/>
        <w:ind w:firstLine="757"/>
        <w:spacing w:after="0" w:line="245" w:lineRule="auto"/>
        <w:tabs>
          <w:tab w:leader="none" w:pos="1229"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Laws. </w:t>
      </w:r>
      <w:r>
        <w:rPr>
          <w:rFonts w:ascii="Arial" w:cs="Arial" w:eastAsia="Arial" w:hAnsi="Arial"/>
          <w:sz w:val="21"/>
          <w:szCs w:val="21"/>
          <w:color w:val="auto"/>
        </w:rPr>
        <w:t>The Company reserves the right to impose other requirements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on the PSUs, and on any Shares acquired or cash payments made pursuant to the Agreement, to the extent the Company determines it is necessary or advisable in order to comply with local law or to facilitate the administration of the Plan, and to require the Grantee to sign any additional agreements or undertakings that may be necessary to accomplish the foregoing. The Grantee agrees to take any and all actions as may be required to comply with the Grantee's personal legal and tax obligations under all laws, rules, and regulations applicable to the Grantee. The Grantee acknowledges that there may be certain exchange control, foreign asset/account and/or tax reporting requirements that may affect the Grantee's ability to acquire or hold Shares or cash received from participating in the Plan (including the proceeds from the sale of Shares and the receipt of any Dividend Equivalents or dividends) in a brokerage or bank account outside the Grantee's country. The Grantee may be required to report such accounts, assets, or related transactions to the tax or other authorities in the Grantee's country. The Grantee acknowledges that it is the Grantee's responsibility to comply with such regulations.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jc w:val="both"/>
        <w:ind w:firstLine="757"/>
        <w:spacing w:after="0" w:line="238" w:lineRule="auto"/>
        <w:tabs>
          <w:tab w:leader="none" w:pos="1229"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Severability. </w:t>
      </w:r>
      <w:r>
        <w:rPr>
          <w:rFonts w:ascii="Arial" w:cs="Arial" w:eastAsia="Arial" w:hAnsi="Arial"/>
          <w:sz w:val="22"/>
          <w:szCs w:val="22"/>
          <w:color w:val="auto"/>
        </w:rPr>
        <w:t>This Agreement may be executed in two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will be deemed an original and all of which together will constitute one agreement. If any provision, or any part thereof, of this Agreement should be held by any court to be illegal, invalid or unenforceable, either in whole or in part, such illegality, invalidity or unenforceability will not affect the legality, validity or enforceability of the remaining provisions, or any part thereof, all of which will remain in full and effect.</w:t>
      </w:r>
    </w:p>
    <w:p>
      <w:pPr>
        <w:spacing w:after="0" w:line="203" w:lineRule="exact"/>
        <w:rPr>
          <w:rFonts w:ascii="Arial" w:cs="Arial" w:eastAsia="Arial" w:hAnsi="Arial"/>
          <w:sz w:val="22"/>
          <w:szCs w:val="22"/>
          <w:b w:val="1"/>
          <w:bCs w:val="1"/>
          <w:color w:val="auto"/>
        </w:rPr>
      </w:pPr>
    </w:p>
    <w:p>
      <w:pPr>
        <w:jc w:val="both"/>
        <w:ind w:firstLine="757"/>
        <w:spacing w:after="0" w:line="235" w:lineRule="auto"/>
        <w:tabs>
          <w:tab w:leader="none" w:pos="1229"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Amendments. </w:t>
      </w:r>
      <w:r>
        <w:rPr>
          <w:rFonts w:ascii="Arial" w:cs="Arial" w:eastAsia="Arial" w:hAnsi="Arial"/>
          <w:sz w:val="22"/>
          <w:szCs w:val="22"/>
          <w:color w:val="auto"/>
        </w:rPr>
        <w:t>This Agreement (including the Appendix and any documents or</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instruments referred to herein) constitutes the entire agreement regarding the PSUs among the parties and supersedes all prior agreements, and understandings, both written and oral, among the parties with respect to the subject matter hereof. The Committee may amend this Agreement, provided that if the Committee determines, in its discretion, that an amendment of this Agreement is likely to materially impair the rights of the Grantee, such amendment will not be implemented without the consent of the Grantee, except to the extent that such amendment is required for compliance with applicable law, stock market or exchange rules and regulations, or accounting or tax rules and regulations.</w:t>
      </w:r>
    </w:p>
    <w:p>
      <w:pPr>
        <w:spacing w:after="0" w:line="205" w:lineRule="exact"/>
        <w:rPr>
          <w:rFonts w:ascii="Arial" w:cs="Arial" w:eastAsia="Arial" w:hAnsi="Arial"/>
          <w:sz w:val="22"/>
          <w:szCs w:val="22"/>
          <w:b w:val="1"/>
          <w:bCs w:val="1"/>
          <w:color w:val="auto"/>
        </w:rPr>
      </w:pPr>
    </w:p>
    <w:p>
      <w:pPr>
        <w:ind w:firstLine="757"/>
        <w:spacing w:after="0" w:line="261" w:lineRule="auto"/>
        <w:tabs>
          <w:tab w:leader="none" w:pos="1229"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will be governed by and construed and enforced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Florida, without regard to choice of law principles.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6" w:name="page87"/>
    <w:bookmarkEnd w:id="86"/>
    <w:p>
      <w:pPr>
        <w:ind w:firstLine="480"/>
        <w:spacing w:after="0" w:line="259" w:lineRule="auto"/>
        <w:rPr>
          <w:sz w:val="20"/>
          <w:szCs w:val="20"/>
          <w:color w:val="auto"/>
        </w:rPr>
      </w:pPr>
      <w:r>
        <w:rPr>
          <w:rFonts w:ascii="Arial" w:cs="Arial" w:eastAsia="Arial" w:hAnsi="Arial"/>
          <w:sz w:val="22"/>
          <w:szCs w:val="22"/>
          <w:color w:val="auto"/>
        </w:rPr>
        <w:t>IN WITNESS WHEREOF, this Agreement has been executed and delivered by the parties as of the date first written above.</w:t>
      </w: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BROWN &amp; BROWN, INC.</w:t>
      </w:r>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By:___________________________</w:t>
      </w:r>
    </w:p>
    <w:p>
      <w:pPr>
        <w:ind w:left="1040"/>
        <w:spacing w:after="0"/>
        <w:rPr>
          <w:sz w:val="20"/>
          <w:szCs w:val="20"/>
          <w:color w:val="auto"/>
        </w:rPr>
      </w:pPr>
      <w:r>
        <w:rPr>
          <w:rFonts w:ascii="Arial" w:cs="Arial" w:eastAsia="Arial" w:hAnsi="Arial"/>
          <w:sz w:val="22"/>
          <w:szCs w:val="22"/>
          <w:color w:val="auto"/>
        </w:rPr>
        <w:t>R. Andrew Watts</w:t>
      </w:r>
    </w:p>
    <w:p>
      <w:pPr>
        <w:ind w:left="1040"/>
        <w:spacing w:after="0" w:line="230" w:lineRule="auto"/>
        <w:rPr>
          <w:sz w:val="20"/>
          <w:szCs w:val="20"/>
          <w:color w:val="auto"/>
        </w:rPr>
      </w:pPr>
      <w:r>
        <w:rPr>
          <w:rFonts w:ascii="Arial" w:cs="Arial" w:eastAsia="Arial" w:hAnsi="Arial"/>
          <w:sz w:val="22"/>
          <w:szCs w:val="22"/>
          <w:color w:val="auto"/>
        </w:rPr>
        <w:t>Executive Vice President, Treasurer</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&amp; Chief Financial Officer</w:t>
      </w:r>
    </w:p>
    <w:p>
      <w:pPr>
        <w:spacing w:after="0" w:line="200" w:lineRule="exact"/>
        <w:rPr>
          <w:sz w:val="20"/>
          <w:szCs w:val="20"/>
          <w:color w:val="auto"/>
        </w:rPr>
      </w:pPr>
    </w:p>
    <w:p>
      <w:pPr>
        <w:spacing w:after="0" w:line="254"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GRANTEE</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______________________________</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Powell Brown, certify that:</w:t>
      </w:r>
    </w:p>
    <w:p>
      <w:pPr>
        <w:spacing w:after="0" w:line="225" w:lineRule="exact"/>
        <w:rPr>
          <w:sz w:val="20"/>
          <w:szCs w:val="20"/>
          <w:color w:val="auto"/>
        </w:rPr>
      </w:pPr>
    </w:p>
    <w:p>
      <w:pPr>
        <w:ind w:left="360" w:hanging="352"/>
        <w:spacing w:after="0"/>
        <w:tabs>
          <w:tab w:leader="none" w:pos="3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March 31, 2026;</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Andrew Watts, certify that:</w:t>
      </w:r>
    </w:p>
    <w:p>
      <w:pPr>
        <w:spacing w:after="0" w:line="225" w:lineRule="exact"/>
        <w:rPr>
          <w:sz w:val="20"/>
          <w:szCs w:val="20"/>
          <w:color w:val="auto"/>
        </w:rPr>
      </w:pPr>
    </w:p>
    <w:p>
      <w:pPr>
        <w:ind w:left="360" w:hanging="352"/>
        <w:spacing w:after="0"/>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March 31, 2026;</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March 31, 2026, as filed with the Securities and Exchange Commission on the date hereof (the “Form 10-Q”), I, J. Powell Brown,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April 27,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March 31, 2026, as filed with the Securities and Exchange Commission on the date hereof (the “Form 10-Q”), I, R. Andrew Watts,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April 27,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805"/>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decimal"/>
      <w:start w:val="1"/>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01"/>
    </w:lvl>
  </w:abstractNum>
  <w:abstractNum w:abstractNumId="24">
    <w:nsid w:val="6590700B"/>
    <w:multiLevelType w:val="hybridMultilevel"/>
    <w:lvl w:ilvl="0">
      <w:lvlJc w:val="left"/>
      <w:lvlText w:val="*"/>
      <w:numFmt w:val="bullet"/>
      <w:start w:val="1"/>
    </w:lvl>
    <w:lvl w:ilvl="1">
      <w:lvlJc w:val="left"/>
      <w:lvlText w:val="%2"/>
      <w:numFmt w:val="decimal"/>
      <w:start w:val="104"/>
    </w:lvl>
  </w:abstractNum>
  <w:abstractNum w:abstractNumId="25">
    <w:nsid w:val="15014ACB"/>
    <w:multiLevelType w:val="hybridMultilevel"/>
    <w:lvl w:ilvl="0">
      <w:lvlJc w:val="left"/>
      <w:lvlText w:val="&amp;"/>
      <w:numFmt w:val="bullet"/>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28">
    <w:nsid w:val="799D0247"/>
    <w:multiLevelType w:val="hybridMultilevel"/>
    <w:lvl w:ilvl="0">
      <w:lvlJc w:val="left"/>
      <w:lvlText w:val="(%1)"/>
      <w:numFmt w:val="lowerLetter"/>
      <w:start w:val="2"/>
    </w:lvl>
  </w:abstractNum>
  <w:abstractNum w:abstractNumId="29">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0">
    <w:nsid w:val="42C296B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1">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2">
    <w:nsid w:val="1EBA5D2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33">
    <w:nsid w:val="661E3F1E"/>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abstractNum>
  <w:abstractNum w:abstractNumId="34">
    <w:nsid w:val="5DC79EA8"/>
    <w:multiLevelType w:val="hybridMultilevel"/>
    <w:lvl w:ilvl="0">
      <w:lvlJc w:val="left"/>
      <w:lvlText w:val="%1"/>
      <w:numFmt w:val="lowerLetter"/>
      <w:start w:val="1"/>
    </w:lvl>
    <w:lvl w:ilvl="1">
      <w:lvlJc w:val="left"/>
      <w:lvlText w:val="(%2)"/>
      <w:numFmt w:val="upperLetter"/>
      <w:start w:val="2"/>
    </w:lvl>
    <w:lvl w:ilvl="2">
      <w:lvlJc w:val="left"/>
      <w:lvlText w:val="%3"/>
      <w:numFmt w:val="upperLetter"/>
      <w:start w:val="1"/>
    </w:lvl>
  </w:abstractNum>
  <w:abstractNum w:abstractNumId="35">
    <w:nsid w:val="540A471C"/>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36">
    <w:nsid w:val="7BD3EE7B"/>
    <w:multiLevelType w:val="hybridMultilevel"/>
    <w:lvl w:ilvl="0">
      <w:lvlJc w:val="left"/>
      <w:lvlText w:val="(%1)"/>
      <w:numFmt w:val="decimal"/>
      <w:start w:val="1"/>
    </w:lvl>
    <w:lvl w:ilvl="1">
      <w:lvlJc w:val="left"/>
      <w:lvlText w:val="(%2)"/>
      <w:numFmt w:val="upperLetter"/>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upperLetter"/>
      <w:start w:val="2"/>
    </w:lvl>
    <w:lvl w:ilvl="1">
      <w:lvlJc w:val="left"/>
      <w:lvlText w:val="%2."/>
      <w:numFmt w:val="decimal"/>
      <w:start w:val="1"/>
    </w:lvl>
  </w:abstractNum>
  <w:abstractNum w:abstractNumId="39">
    <w:nsid w:val="BF72B14"/>
    <w:multiLevelType w:val="hybridMultilevel"/>
    <w:lvl w:ilvl="0">
      <w:lvlJc w:val="left"/>
      <w:lvlText w:val="%1."/>
      <w:numFmt w:val="lowerLetter"/>
      <w:start w:val="1"/>
    </w:lvl>
  </w:abstractNum>
  <w:abstractNum w:abstractNumId="40">
    <w:nsid w:val="11447B73"/>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1"/>
    </w:lvl>
  </w:abstractNum>
  <w:abstractNum w:abstractNumId="41">
    <w:nsid w:val="42963E5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2">
    <w:nsid w:val="A0382C5"/>
    <w:multiLevelType w:val="hybridMultilevel"/>
    <w:lvl w:ilvl="0">
      <w:lvlJc w:val="left"/>
      <w:lvlText w:val="%1."/>
      <w:numFmt w:val="lowerLetter"/>
      <w:start w:val="4"/>
    </w:lvl>
  </w:abstractNum>
  <w:abstractNum w:abstractNumId="43">
    <w:nsid w:val="8F2B15E"/>
    <w:multiLevelType w:val="hybridMultilevel"/>
    <w:lvl w:ilvl="0">
      <w:lvlJc w:val="left"/>
      <w:lvlText w:val="(%1)"/>
      <w:numFmt w:val="decimal"/>
      <w:start w:val="2"/>
    </w:lvl>
  </w:abstractNum>
  <w:abstractNum w:abstractNumId="44">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decimal"/>
      <w:start w:val="1"/>
    </w:lvl>
    <w:lvl w:ilvl="5">
      <w:lvlJc w:val="left"/>
      <w:lvlText w:val="(%6)"/>
      <w:numFmt w:val="decimal"/>
      <w:start w:val="2"/>
    </w:lvl>
  </w:abstractNum>
  <w:abstractNum w:abstractNumId="45">
    <w:nsid w:val="3B0FD37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decimal"/>
      <w:start w:val="1"/>
    </w:lvl>
    <w:lvl w:ilvl="5">
      <w:lvlJc w:val="left"/>
      <w:lvlText w:val="%6"/>
      <w:numFmt w:val="decimal"/>
      <w:start w:val="1"/>
    </w:lvl>
  </w:abstractNum>
  <w:abstractNum w:abstractNumId="46">
    <w:nsid w:val="68EB2F63"/>
    <w:multiLevelType w:val="hybridMultilevel"/>
    <w:lvl w:ilvl="0">
      <w:lvlJc w:val="left"/>
      <w:lvlText w:val="%1"/>
      <w:numFmt w:val="decimal"/>
      <w:start w:val="1"/>
    </w:lvl>
    <w:lvl w:ilvl="1">
      <w:lvlJc w:val="left"/>
      <w:lvlText w:val="(%2)"/>
      <w:numFmt w:val="lowerLetter"/>
      <w:start w:val="3"/>
    </w:lvl>
  </w:abstractNum>
  <w:abstractNum w:abstractNumId="47">
    <w:nsid w:val="4962813B"/>
    <w:multiLevelType w:val="hybridMultilevel"/>
    <w:lvl w:ilvl="0">
      <w:lvlJc w:val="left"/>
      <w:lvlText w:val="%1."/>
      <w:numFmt w:val="decimal"/>
      <w:start w:val="8"/>
    </w:lvl>
    <w:lvl w:ilvl="1">
      <w:lvlJc w:val="left"/>
      <w:lvlText w:val="%2"/>
      <w:numFmt w:val="lowerLetter"/>
      <w:start w:val="1"/>
    </w:lvl>
  </w:abstractNum>
  <w:abstractNum w:abstractNumId="48">
    <w:nsid w:val="60B6DF70"/>
    <w:multiLevelType w:val="hybridMultilevel"/>
    <w:lvl w:ilvl="0">
      <w:lvlJc w:val="left"/>
      <w:lvlText w:val="%1."/>
      <w:numFmt w:val="decimal"/>
      <w:start w:val="10"/>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49">
    <w:nsid w:val="6A5EE64"/>
    <w:multiLevelType w:val="hybridMultilevel"/>
    <w:lvl w:ilvl="0">
      <w:lvlJc w:val="left"/>
      <w:lvlText w:val="%1."/>
      <w:numFmt w:val="decimal"/>
      <w:start w:val="12"/>
    </w:lvl>
    <w:lvl w:ilvl="1">
      <w:lvlJc w:val="left"/>
      <w:lvlText w:val="%2."/>
      <w:numFmt w:val="decimal"/>
      <w:start w:val="13"/>
    </w:lvl>
    <w:lvl w:ilvl="2">
      <w:lvlJc w:val="left"/>
      <w:lvlText w:val="(%3)"/>
      <w:numFmt w:val="lowerLetter"/>
      <w:start w:val="1"/>
    </w:lvl>
    <w:lvl w:ilvl="3">
      <w:lvlJc w:val="left"/>
      <w:lvlText w:val="(%4)"/>
      <w:numFmt w:val="lowerLetter"/>
      <w:start w:val="2"/>
    </w:lvl>
  </w:abstractNum>
  <w:abstractNum w:abstractNumId="50">
    <w:nsid w:val="1433062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51">
    <w:nsid w:val="7FFFCA11"/>
    <w:multiLevelType w:val="hybridMultilevel"/>
    <w:lvl w:ilvl="0">
      <w:lvlJc w:val="left"/>
      <w:lvlText w:val="%1."/>
      <w:numFmt w:val="decimal"/>
      <w:start w:val="14"/>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52">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53">
    <w:nsid w:val="71EA1109"/>
    <w:multiLevelType w:val="hybridMultilevel"/>
    <w:lvl w:ilvl="0">
      <w:lvlJc w:val="left"/>
      <w:lvlText w:val="%1"/>
      <w:numFmt w:val="decimal"/>
      <w:start w:val="1"/>
    </w:lvl>
    <w:lvl w:ilvl="1">
      <w:lvlJc w:val="left"/>
      <w:lvlText w:val="(%2)"/>
      <w:numFmt w:val="lowerLetter"/>
      <w:start w:val="5"/>
    </w:lvl>
  </w:abstractNum>
  <w:abstractNum w:abstractNumId="54">
    <w:nsid w:val="100F59DC"/>
    <w:multiLevelType w:val="hybridMultilevel"/>
    <w:lvl w:ilvl="0">
      <w:lvlJc w:val="left"/>
      <w:lvlText w:val="%1."/>
      <w:numFmt w:val="decimal"/>
      <w:start w:val="15"/>
    </w:lvl>
    <w:lvl w:ilvl="1">
      <w:lvlJc w:val="left"/>
      <w:lvlText w:val="%2"/>
      <w:numFmt w:val="lowerLetter"/>
      <w:start w:val="1"/>
    </w:lvl>
  </w:abstractNum>
  <w:abstractNum w:abstractNumId="55">
    <w:nsid w:val="7FB7E0AA"/>
    <w:multiLevelType w:val="hybridMultilevel"/>
    <w:lvl w:ilvl="0">
      <w:lvlJc w:val="left"/>
      <w:lvlText w:val="%1"/>
      <w:numFmt w:val="decimal"/>
      <w:start w:val="1"/>
    </w:lvl>
    <w:lvl w:ilvl="1">
      <w:lvlJc w:val="left"/>
      <w:lvlText w:val="%2"/>
      <w:numFmt w:val="decimal"/>
      <w:start w:val="1"/>
    </w:lvl>
    <w:lvl w:ilvl="2">
      <w:lvlJc w:val="left"/>
      <w:lvlText w:val="%3."/>
      <w:numFmt w:val="decimal"/>
      <w:start w:val="17"/>
    </w:lvl>
  </w:abstractNum>
  <w:abstractNum w:abstractNumId="56">
    <w:nsid w:val="6EB5BD4"/>
    <w:multiLevelType w:val="hybridMultilevel"/>
    <w:lvl w:ilvl="0">
      <w:lvlJc w:val="left"/>
      <w:lvlText w:val="%1."/>
      <w:numFmt w:val="decimal"/>
      <w:start w:val="18"/>
    </w:lvl>
    <w:lvl w:ilvl="1">
      <w:lvlJc w:val="left"/>
      <w:lvlText w:val="%2."/>
      <w:numFmt w:val="decimal"/>
      <w:start w:val="19"/>
    </w:lvl>
    <w:lvl w:ilvl="2">
      <w:lvlJc w:val="left"/>
      <w:lvlText w:val="%3"/>
      <w:numFmt w:val="decimal"/>
      <w:start w:val="1"/>
    </w:lvl>
  </w:abstractNum>
  <w:abstractNum w:abstractNumId="57">
    <w:nsid w:val="6F6DD9AC"/>
    <w:multiLevelType w:val="hybridMultilevel"/>
    <w:lvl w:ilvl="0">
      <w:lvlJc w:val="left"/>
      <w:lvlText w:val="%1."/>
      <w:numFmt w:val="decimal"/>
      <w:start w:val="20"/>
    </w:lvl>
  </w:abstractNum>
  <w:abstractNum w:abstractNumId="58">
    <w:nsid w:val="94211F2"/>
    <w:multiLevelType w:val="hybridMultilevel"/>
    <w:lvl w:ilvl="0">
      <w:lvlJc w:val="left"/>
      <w:lvlText w:val="%1"/>
      <w:numFmt w:val="decimal"/>
      <w:start w:val="1"/>
    </w:lvl>
    <w:lvl w:ilvl="1">
      <w:lvlJc w:val="left"/>
      <w:lvlText w:val="%2."/>
      <w:numFmt w:val="decimal"/>
      <w:start w:val="1"/>
    </w:lvl>
  </w:abstractNum>
  <w:abstractNum w:abstractNumId="59">
    <w:nsid w:val="885E1B"/>
    <w:multiLevelType w:val="hybridMultilevel"/>
    <w:lvl w:ilvl="0">
      <w:lvlJc w:val="left"/>
      <w:lvlText w:val="%1."/>
      <w:numFmt w:val="decimal"/>
      <w:start w:val="2"/>
    </w:lvl>
    <w:lvl w:ilvl="1">
      <w:lvlJc w:val="left"/>
      <w:lvlText w:val="%2"/>
      <w:numFmt w:val="decimal"/>
      <w:start w:val="1"/>
    </w:lvl>
  </w:abstractNum>
  <w:abstractNum w:abstractNumId="60">
    <w:nsid w:val="76272110"/>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lowerLetter"/>
      <w:start w:val="1"/>
    </w:lvl>
    <w:lvl w:ilvl="4">
      <w:lvlJc w:val="left"/>
      <w:lvlText w:val="%5"/>
      <w:numFmt w:val="decimal"/>
      <w:start w:val="1"/>
    </w:lvl>
    <w:lvl w:ilvl="5">
      <w:lvlJc w:val="left"/>
      <w:lvlText w:val="%6"/>
      <w:numFmt w:val="upperLetter"/>
      <w:start w:val="1"/>
    </w:lvl>
    <w:lvl w:ilvl="6">
      <w:lvlJc w:val="left"/>
      <w:lvlText w:val="%7"/>
      <w:numFmt w:val="upperLetter"/>
      <w:start w:val="1"/>
    </w:lvl>
  </w:abstractNum>
  <w:abstractNum w:abstractNumId="61">
    <w:nsid w:val="4C04A8AF"/>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lowerLetter"/>
      <w:start w:val="1"/>
    </w:lvl>
    <w:lvl w:ilvl="4">
      <w:lvlJc w:val="left"/>
      <w:lvlText w:val="(%5)"/>
      <w:numFmt w:val="decimal"/>
      <w:start w:val="1"/>
    </w:lvl>
    <w:lvl w:ilvl="5">
      <w:lvlJc w:val="left"/>
      <w:lvlText w:val="%6"/>
      <w:numFmt w:val="upperLetter"/>
      <w:start w:val="1"/>
    </w:lvl>
    <w:lvl w:ilvl="6">
      <w:lvlJc w:val="left"/>
      <w:lvlText w:val="(%7)"/>
      <w:numFmt w:val="upperLetter"/>
      <w:start w:val="1"/>
    </w:lvl>
  </w:abstractNum>
  <w:abstractNum w:abstractNumId="62">
    <w:nsid w:val="1716703B"/>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decimal"/>
      <w:start w:val="1"/>
    </w:lvl>
    <w:lvl w:ilvl="5">
      <w:lvlJc w:val="left"/>
      <w:lvlText w:val="(%6)"/>
      <w:numFmt w:val="upperLetter"/>
      <w:start w:val="2"/>
    </w:lvl>
    <w:lvl w:ilvl="6">
      <w:lvlJc w:val="left"/>
      <w:lvlText w:val="%7"/>
      <w:numFmt w:val="upperLetter"/>
      <w:start w:val="1"/>
    </w:lvl>
  </w:abstractNum>
  <w:abstractNum w:abstractNumId="63">
    <w:nsid w:val="14E17E33"/>
    <w:multiLevelType w:val="hybridMultilevel"/>
    <w:lvl w:ilvl="0">
      <w:lvlJc w:val="left"/>
      <w:lvlText w:val="(%1)"/>
      <w:numFmt w:val="lowerRoman"/>
      <w:start w:val="2"/>
    </w:lvl>
    <w:lvl w:ilvl="1">
      <w:lvlJc w:val="left"/>
      <w:lvlText w:val="(%2)"/>
      <w:numFmt w:val="decimal"/>
      <w:start w:val="2"/>
    </w:lvl>
  </w:abstractNum>
  <w:abstractNum w:abstractNumId="64">
    <w:nsid w:val="3222E7CD"/>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2"/>
    </w:lvl>
    <w:lvl w:ilvl="3">
      <w:lvlJc w:val="left"/>
      <w:lvlText w:val="(%4)"/>
      <w:numFmt w:val="upperLetter"/>
      <w:start w:val="3"/>
    </w:lvl>
  </w:abstractNum>
  <w:abstractNum w:abstractNumId="65">
    <w:nsid w:val="74DE0EE3"/>
    <w:multiLevelType w:val="hybridMultilevel"/>
    <w:lvl w:ilvl="0">
      <w:lvlJc w:val="left"/>
      <w:lvlText w:val="(%1)"/>
      <w:numFmt w:val="upperLetter"/>
      <w:start w:val="4"/>
    </w:lvl>
  </w:abstractNum>
  <w:abstractNum w:abstractNumId="66">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67">
    <w:nsid w:val="2DF6D64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68">
    <w:nsid w:val="46B7D447"/>
    <w:multiLevelType w:val="hybridMultilevel"/>
    <w:lvl w:ilvl="0">
      <w:lvlJc w:val="left"/>
      <w:lvlText w:val="%1"/>
      <w:numFmt w:val="decimal"/>
      <w:start w:val="1"/>
    </w:lvl>
    <w:lvl w:ilvl="1">
      <w:lvlJc w:val="left"/>
      <w:lvlText w:val="(%2)"/>
      <w:numFmt w:val="lowerLetter"/>
      <w:start w:val="3"/>
    </w:lvl>
  </w:abstractNum>
  <w:abstractNum w:abstractNumId="69">
    <w:nsid w:val="4A2AC315"/>
    <w:multiLevelType w:val="hybridMultilevel"/>
    <w:lvl w:ilvl="0">
      <w:lvlJc w:val="left"/>
      <w:lvlText w:val="%1."/>
      <w:numFmt w:val="decimal"/>
      <w:start w:val="7"/>
    </w:lvl>
    <w:lvl w:ilvl="1">
      <w:lvlJc w:val="left"/>
      <w:lvlText w:val="%2"/>
      <w:numFmt w:val="lowerLetter"/>
      <w:start w:val="1"/>
    </w:lvl>
  </w:abstractNum>
  <w:abstractNum w:abstractNumId="70">
    <w:nsid w:val="39EE015C"/>
    <w:multiLevelType w:val="hybridMultilevel"/>
    <w:lvl w:ilvl="0">
      <w:lvlJc w:val="left"/>
      <w:lvlText w:val="%1."/>
      <w:numFmt w:val="decimal"/>
      <w:start w:val="9"/>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1">
    <w:nsid w:val="57FC4FBB"/>
    <w:multiLevelType w:val="hybridMultilevel"/>
    <w:lvl w:ilvl="0">
      <w:lvlJc w:val="left"/>
      <w:lvlText w:val="%1."/>
      <w:numFmt w:val="decimal"/>
      <w:start w:val="11"/>
    </w:lvl>
  </w:abstractNum>
  <w:abstractNum w:abstractNumId="72">
    <w:nsid w:val="CC1016F"/>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73">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74">
    <w:nsid w:val="60EF0119"/>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75">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76">
    <w:nsid w:val="7F01579B"/>
    <w:multiLevelType w:val="hybridMultilevel"/>
    <w:lvl w:ilvl="0">
      <w:lvlJc w:val="left"/>
      <w:lvlText w:val="%1"/>
      <w:numFmt w:val="decimal"/>
      <w:start w:val="1"/>
    </w:lvl>
    <w:lvl w:ilvl="1">
      <w:lvlJc w:val="left"/>
      <w:lvlText w:val="(%2)"/>
      <w:numFmt w:val="lowerLetter"/>
      <w:start w:val="5"/>
    </w:lvl>
  </w:abstractNum>
  <w:abstractNum w:abstractNumId="77">
    <w:nsid w:val="49DA307D"/>
    <w:multiLevelType w:val="hybridMultilevel"/>
    <w:lvl w:ilvl="0">
      <w:lvlJc w:val="left"/>
      <w:lvlText w:val="%1."/>
      <w:numFmt w:val="decimal"/>
      <w:start w:val="14"/>
    </w:lvl>
    <w:lvl w:ilvl="1">
      <w:lvlJc w:val="left"/>
      <w:lvlText w:val="%2"/>
      <w:numFmt w:val="lowerLetter"/>
      <w:start w:val="1"/>
    </w:lvl>
  </w:abstractNum>
  <w:abstractNum w:abstractNumId="78">
    <w:nsid w:val="7055A5F5"/>
    <w:multiLevelType w:val="hybridMultilevel"/>
    <w:lvl w:ilvl="0">
      <w:lvlJc w:val="left"/>
      <w:lvlText w:val="%1"/>
      <w:numFmt w:val="decimal"/>
      <w:start w:val="1"/>
    </w:lvl>
    <w:lvl w:ilvl="1">
      <w:lvlJc w:val="left"/>
      <w:lvlText w:val="%2"/>
      <w:numFmt w:val="decimal"/>
      <w:start w:val="1"/>
    </w:lvl>
    <w:lvl w:ilvl="2">
      <w:lvlJc w:val="left"/>
      <w:lvlText w:val="%3."/>
      <w:numFmt w:val="decimal"/>
      <w:start w:val="16"/>
    </w:lvl>
  </w:abstractNum>
  <w:abstractNum w:abstractNumId="79">
    <w:nsid w:val="5FB8370B"/>
    <w:multiLevelType w:val="hybridMultilevel"/>
    <w:lvl w:ilvl="0">
      <w:lvlJc w:val="left"/>
      <w:lvlText w:val="%1."/>
      <w:numFmt w:val="decimal"/>
      <w:start w:val="17"/>
    </w:lvl>
    <w:lvl w:ilvl="1">
      <w:lvlJc w:val="left"/>
      <w:lvlText w:val="%2."/>
      <w:numFmt w:val="decimal"/>
      <w:start w:val="18"/>
    </w:lvl>
    <w:lvl w:ilvl="2">
      <w:lvlJc w:val="left"/>
      <w:lvlText w:val="%3"/>
      <w:numFmt w:val="decimal"/>
      <w:start w:val="1"/>
    </w:lvl>
  </w:abstractNum>
  <w:abstractNum w:abstractNumId="80">
    <w:nsid w:val="50801EE1"/>
    <w:multiLevelType w:val="hybridMultilevel"/>
    <w:lvl w:ilvl="0">
      <w:lvlJc w:val="left"/>
      <w:lvlText w:val="%1."/>
      <w:numFmt w:val="decimal"/>
      <w:start w:val="19"/>
    </w:lvl>
  </w:abstractNum>
  <w:abstractNum w:abstractNumId="81">
    <w:nsid w:val="488AC1A"/>
    <w:multiLevelType w:val="hybridMultilevel"/>
    <w:lvl w:ilvl="0">
      <w:lvlJc w:val="left"/>
      <w:lvlText w:val="&amp;"/>
      <w:numFmt w:val="bullet"/>
      <w:start w:val="1"/>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84">
    <w:nsid w:val="7672BD23"/>
    <w:multiLevelType w:val="hybridMultilevel"/>
    <w:lvl w:ilvl="0">
      <w:lvlJc w:val="left"/>
      <w:lvlText w:val="(%1)"/>
      <w:numFmt w:val="lowerLetter"/>
      <w:start w:val="2"/>
    </w:lvl>
  </w:abstractNum>
  <w:abstractNum w:abstractNumId="85">
    <w:nsid w:val="6FC75AF8"/>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Letter"/>
      <w:start w:val="3"/>
    </w:lvl>
    <w:lvl w:ilvl="4">
      <w:lvlJc w:val="left"/>
      <w:lvlText w:val="(%5)"/>
      <w:numFmt w:val="decimal"/>
      <w:start w:val="3"/>
    </w:lvl>
    <w:lvl w:ilvl="5">
      <w:lvlJc w:val="left"/>
      <w:lvlText w:val="(%6)"/>
      <w:numFmt w:val="decimal"/>
      <w:start w:val="3"/>
    </w:lvl>
  </w:abstractNum>
  <w:abstractNum w:abstractNumId="86">
    <w:nsid w:val="6A5F7029"/>
    <w:multiLevelType w:val="hybridMultilevel"/>
    <w:lvl w:ilvl="0">
      <w:lvlJc w:val="left"/>
      <w:lvlText w:val="%1"/>
      <w:numFmt w:val="decimal"/>
      <w:start w:val="1"/>
    </w:lvl>
    <w:lvl w:ilvl="1">
      <w:lvlJc w:val="left"/>
      <w:lvlText w:val="(%2)"/>
      <w:numFmt w:val="lowerLetter"/>
      <w:start w:val="5"/>
    </w:lvl>
  </w:abstractNum>
  <w:abstractNum w:abstractNumId="87">
    <w:nsid w:val="7D5E18F8"/>
    <w:multiLevelType w:val="hybridMultilevel"/>
    <w:lvl w:ilvl="0">
      <w:lvlJc w:val="left"/>
      <w:lvlText w:val="%1."/>
      <w:numFmt w:val="decimal"/>
      <w:start w:val="4"/>
    </w:lvl>
    <w:lvl w:ilvl="1">
      <w:lvlJc w:val="left"/>
      <w:lvlText w:val="%2"/>
      <w:numFmt w:val="lowerLetter"/>
      <w:start w:val="1"/>
    </w:lvl>
  </w:abstractNum>
  <w:abstractNum w:abstractNumId="88">
    <w:nsid w:val="5F3534A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decimal"/>
      <w:start w:val="1"/>
    </w:lvl>
  </w:abstractNum>
  <w:abstractNum w:abstractNumId="89">
    <w:nsid w:val="73A1821B"/>
    <w:multiLevelType w:val="hybridMultilevel"/>
    <w:lvl w:ilvl="0">
      <w:lvlJc w:val="left"/>
      <w:lvlText w:val="%1."/>
      <w:numFmt w:val="decimal"/>
      <w:start w:val="2"/>
    </w:lvl>
  </w:abstractNum>
  <w:abstractNum w:abstractNumId="90">
    <w:nsid w:val="7DE67713"/>
    <w:multiLevelType w:val="hybridMultilevel"/>
    <w:lvl w:ilvl="0">
      <w:lvlJc w:val="left"/>
      <w:lvlText w:val="(%1)"/>
      <w:numFmt w:val="upperLetter"/>
      <w:start w:val="2"/>
    </w:lvl>
  </w:abstractNum>
  <w:abstractNum w:abstractNumId="91">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2">
    <w:nsid w:val="3FA62ACA"/>
    <w:multiLevelType w:val="hybridMultilevel"/>
    <w:lvl w:ilvl="0">
      <w:lvlJc w:val="left"/>
      <w:lvlText w:val="(%1)"/>
      <w:numFmt w:val="lowerRoman"/>
      <w:start w:val="2"/>
    </w:lvl>
    <w:lvl w:ilvl="1">
      <w:lvlJc w:val="left"/>
      <w:lvlText w:val="%2."/>
      <w:numFmt w:val="decimal"/>
      <w:start w:val="2"/>
    </w:lvl>
    <w:lvl w:ilvl="2">
      <w:lvlJc w:val="left"/>
      <w:lvlText w:val="%3."/>
      <w:numFmt w:val="decimal"/>
      <w:start w:val="2"/>
    </w:lvl>
    <w:lvl w:ilvl="3">
      <w:lvlJc w:val="left"/>
      <w:lvlText w:val="%4"/>
      <w:numFmt w:val="lowerLetter"/>
      <w:start w:val="1"/>
    </w:lvl>
  </w:abstractNum>
  <w:abstractNum w:abstractNumId="93">
    <w:nsid w:val="14FCE74E"/>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94">
    <w:nsid w:val="6A3DD3E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4"/>
    </w:lvl>
  </w:abstractNum>
  <w:abstractNum w:abstractNumId="95">
    <w:nsid w:val="71C91298"/>
    <w:multiLevelType w:val="hybridMultilevel"/>
    <w:lvl w:ilvl="0">
      <w:lvlJc w:val="left"/>
      <w:lvlText w:val="%1"/>
      <w:numFmt w:val="lowerLetter"/>
      <w:start w:val="1"/>
    </w:lvl>
    <w:lvl w:ilvl="1">
      <w:lvlJc w:val="left"/>
      <w:lvlText w:val="(%2)"/>
      <w:numFmt w:val="decimal"/>
      <w:start w:val="2"/>
    </w:lvl>
  </w:abstractNum>
  <w:abstractNum w:abstractNumId="96">
    <w:nsid w:val="9DAF632"/>
    <w:multiLevelType w:val="hybridMultilevel"/>
    <w:lvl w:ilvl="0">
      <w:lvlJc w:val="left"/>
      <w:lvlText w:val="(%1)"/>
      <w:numFmt w:val="lowerLetter"/>
      <w:start w:val="2"/>
    </w:lvl>
    <w:lvl w:ilvl="1">
      <w:lvlJc w:val="left"/>
      <w:lvlText w:val="(%2)"/>
      <w:numFmt w:val="decimal"/>
      <w:start w:val="1"/>
    </w:lvl>
  </w:abstractNum>
  <w:abstractNum w:abstractNumId="97">
    <w:nsid w:val="532999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upperLetter"/>
      <w:start w:val="1"/>
    </w:lvl>
    <w:lvl w:ilvl="5">
      <w:lvlJc w:val="left"/>
      <w:lvlText w:val="%6"/>
      <w:numFmt w:val="decimal"/>
      <w:start w:val="1"/>
    </w:lvl>
  </w:abstractNum>
  <w:abstractNum w:abstractNumId="98">
    <w:nsid w:val="1FBFE8E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2"/>
    </w:lvl>
    <w:lvl w:ilvl="4">
      <w:lvlJc w:val="left"/>
      <w:lvlText w:val="%5"/>
      <w:numFmt w:val="upperLetter"/>
      <w:start w:val="1"/>
    </w:lvl>
    <w:lvl w:ilvl="5">
      <w:lvlJc w:val="left"/>
      <w:lvlText w:val="%6."/>
      <w:numFmt w:val="decimal"/>
      <w:start w:val="1"/>
    </w:lvl>
  </w:abstractNum>
  <w:abstractNum w:abstractNumId="99">
    <w:nsid w:val="5092CA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upperLetter"/>
      <w:start w:val="1"/>
    </w:lvl>
    <w:lvl w:ilvl="4">
      <w:lvlJc w:val="left"/>
      <w:lvlText w:val="%5"/>
      <w:numFmt w:val="upperLetter"/>
      <w:start w:val="1"/>
    </w:lvl>
    <w:lvl w:ilvl="5">
      <w:lvlJc w:val="left"/>
      <w:lvlText w:val="%6"/>
      <w:numFmt w:val="decimal"/>
      <w:start w:val="1"/>
    </w:lvl>
  </w:abstractNum>
  <w:abstractNum w:abstractNumId="100">
    <w:nsid w:val="1D545C4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upperLetter"/>
      <w:start w:val="1"/>
    </w:lvl>
    <w:lvl w:ilvl="5">
      <w:lvlJc w:val="left"/>
      <w:lvlText w:val="%6"/>
      <w:numFmt w:val="decimal"/>
      <w:start w:val="1"/>
    </w:lvl>
  </w:abstractNum>
  <w:abstractNum w:abstractNumId="101">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2">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3">
    <w:nsid w:val="2A155DB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04">
    <w:nsid w:val="1D9F6E5F"/>
    <w:multiLevelType w:val="hybridMultilevel"/>
    <w:lvl w:ilvl="0">
      <w:lvlJc w:val="left"/>
      <w:lvlText w:val="(%1)"/>
      <w:numFmt w:val="decimal"/>
      <w:start w:val="30"/>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105">
    <w:nsid w:val="97E1B4E"/>
    <w:multiLevelType w:val="hybridMultilevel"/>
    <w:lvl w:ilvl="0">
      <w:lvlJc w:val="left"/>
      <w:lvlText w:val="%1."/>
      <w:numFmt w:val="decimal"/>
      <w:start w:val="13"/>
    </w:lvl>
    <w:lvl w:ilvl="1">
      <w:lvlJc w:val="left"/>
      <w:lvlText w:val="(%2)"/>
      <w:numFmt w:val="lowerLetter"/>
      <w:start w:val="1"/>
    </w:lvl>
  </w:abstractNum>
  <w:abstractNum w:abstractNumId="106">
    <w:nsid w:val="51088277"/>
    <w:multiLevelType w:val="hybridMultilevel"/>
    <w:lvl w:ilvl="0">
      <w:lvlJc w:val="left"/>
      <w:lvlText w:val="%1."/>
      <w:numFmt w:val="decimal"/>
      <w:start w:val="15"/>
    </w:lvl>
    <w:lvl w:ilvl="1">
      <w:lvlJc w:val="left"/>
      <w:lvlText w:val="(%2)"/>
      <w:numFmt w:val="lowerLetter"/>
      <w:start w:val="1"/>
    </w:lvl>
  </w:abstractNum>
  <w:abstractNum w:abstractNumId="107">
    <w:nsid w:val="1CA0C5FA"/>
    <w:multiLevelType w:val="hybridMultilevel"/>
    <w:lvl w:ilvl="0">
      <w:lvlJc w:val="left"/>
      <w:lvlText w:val="%1."/>
      <w:numFmt w:val="decimal"/>
      <w:start w:val="17"/>
    </w:lvl>
  </w:abstractNum>
  <w:abstractNum w:abstractNumId="108">
    <w:nsid w:val="53584BCB"/>
    <w:multiLevelType w:val="hybridMultilevel"/>
    <w:lvl w:ilvl="0">
      <w:lvlJc w:val="left"/>
      <w:lvlText w:val="%1."/>
      <w:numFmt w:val="decimal"/>
      <w:start w:val="20"/>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jpe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jpe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jpe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236" Type="http://schemas.openxmlformats.org/officeDocument/2006/relationships/hyperlink" Target="https://www.sec.gov/Archives/edgar/data/79282/000095017023000930/bro-ex3_1.htm" TargetMode="External"/><Relationship Id="rId237" Type="http://schemas.openxmlformats.org/officeDocument/2006/relationships/hyperlink" Target="https://www.sec.gov/Archives/edgar/data/79282/000095017023000930/bro-ex3_2.htm" TargetMode="External"/><Relationship Id="rId238" Type="http://schemas.openxmlformats.org/officeDocument/2006/relationships/hyperlink" Target="https://www.sec.gov/Archives/edgar/data/79282/000119312526091840/bro-ex10_1.htm" TargetMode="External"/><Relationship Id="rId239" Type="http://schemas.openxmlformats.org/officeDocument/2006/relationships/hyperlink" Target="https://www.sec.gov/Archives/edgar/data/79282/000119312526091840/bro-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2026-04-27T16:56:02Z</dcterms:created>
  <dcterms:modified xsi:type="dcterms:W3CDTF">2026-04-27T16:56:02Z</dcterms:modified>
</cp:coreProperties>
</file>